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A1" w:rsidRDefault="008A5E49" w:rsidP="008A5E49">
      <w:pPr>
        <w:jc w:val="center"/>
      </w:pPr>
      <w:r>
        <w:t>MPEP 2152</w:t>
      </w:r>
    </w:p>
    <w:p w:rsidR="008A5E49" w:rsidRPr="008A5E49" w:rsidRDefault="008A5E49" w:rsidP="008A5E49">
      <w:pPr>
        <w:spacing w:before="240" w:after="240" w:line="240" w:lineRule="auto"/>
        <w:outlineLvl w:val="0"/>
        <w:rPr>
          <w:rFonts w:ascii="Arial" w:eastAsia="Times New Roman" w:hAnsi="Arial" w:cs="Arial"/>
          <w:b/>
          <w:bCs/>
          <w:color w:val="000000"/>
          <w:kern w:val="36"/>
          <w:sz w:val="28"/>
          <w:szCs w:val="28"/>
          <w:lang w:val="en"/>
        </w:rPr>
      </w:pPr>
      <w:r w:rsidRPr="008A5E49">
        <w:rPr>
          <w:rFonts w:ascii="Arial" w:eastAsia="Times New Roman" w:hAnsi="Arial" w:cs="Arial"/>
          <w:b/>
          <w:bCs/>
          <w:color w:val="000000"/>
          <w:kern w:val="36"/>
          <w:sz w:val="28"/>
          <w:szCs w:val="28"/>
          <w:lang w:val="en"/>
        </w:rPr>
        <w:t>2152.02(c)   In Public Use [R-11.2013]</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Under </w:t>
      </w:r>
      <w:hyperlink r:id="rId4"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an invention that was “in public use” precluded the grant of a patent only if such public use occurred “in this country.” See </w:t>
      </w:r>
      <w:hyperlink r:id="rId5" w:anchor="d0e204651" w:history="1">
        <w:r w:rsidRPr="008A5E49">
          <w:rPr>
            <w:rFonts w:ascii="Arial" w:eastAsia="Times New Roman" w:hAnsi="Arial" w:cs="Arial"/>
            <w:b/>
            <w:bCs/>
            <w:color w:val="0000FF"/>
            <w:sz w:val="20"/>
            <w:szCs w:val="20"/>
            <w:u w:val="single"/>
            <w:lang w:val="en"/>
          </w:rPr>
          <w:t>MPEP § 2133.03(d)</w:t>
        </w:r>
      </w:hyperlink>
      <w:r w:rsidRPr="008A5E49">
        <w:rPr>
          <w:rFonts w:ascii="Arial" w:eastAsia="Times New Roman" w:hAnsi="Arial" w:cs="Arial"/>
          <w:color w:val="000000"/>
          <w:sz w:val="20"/>
          <w:szCs w:val="20"/>
          <w:lang w:val="en"/>
        </w:rPr>
        <w:t xml:space="preserve">.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Under </w:t>
      </w:r>
      <w:hyperlink r:id="rId6"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there is no geographic limitation on where prior public use or public availability occurs. Furthermore, a public use would need to occur before the effective filing date of the claimed invention to constitute prior art under </w:t>
      </w:r>
      <w:hyperlink r:id="rId7"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The pre-AIA case law also indicates that a public use will bar patentability if the public use occurs before the critical date and the invention is ready for patenting. Under </w:t>
      </w:r>
      <w:hyperlink r:id="rId8"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the critical date is the date that is one year prior to the date of application for patent in the United States. See </w:t>
      </w:r>
      <w:r w:rsidRPr="008A5E49">
        <w:rPr>
          <w:rFonts w:ascii="Arial" w:eastAsia="Times New Roman" w:hAnsi="Arial" w:cs="Arial"/>
          <w:i/>
          <w:iCs/>
          <w:color w:val="000000"/>
          <w:sz w:val="20"/>
          <w:szCs w:val="20"/>
          <w:lang w:val="en"/>
        </w:rPr>
        <w:t xml:space="preserve">Invitrogen Corp. v. </w:t>
      </w:r>
      <w:proofErr w:type="spellStart"/>
      <w:r w:rsidRPr="008A5E49">
        <w:rPr>
          <w:rFonts w:ascii="Arial" w:eastAsia="Times New Roman" w:hAnsi="Arial" w:cs="Arial"/>
          <w:i/>
          <w:iCs/>
          <w:color w:val="000000"/>
          <w:sz w:val="20"/>
          <w:szCs w:val="20"/>
          <w:lang w:val="en"/>
        </w:rPr>
        <w:t>Biocrest</w:t>
      </w:r>
      <w:proofErr w:type="spellEnd"/>
      <w:r w:rsidRPr="008A5E49">
        <w:rPr>
          <w:rFonts w:ascii="Arial" w:eastAsia="Times New Roman" w:hAnsi="Arial" w:cs="Arial"/>
          <w:i/>
          <w:iCs/>
          <w:color w:val="000000"/>
          <w:sz w:val="20"/>
          <w:szCs w:val="20"/>
          <w:lang w:val="en"/>
        </w:rPr>
        <w:t xml:space="preserve"> Manufacturing. L.P.,</w:t>
      </w:r>
      <w:r w:rsidRPr="008A5E49">
        <w:rPr>
          <w:rFonts w:ascii="Arial" w:eastAsia="Times New Roman" w:hAnsi="Arial" w:cs="Arial"/>
          <w:color w:val="000000"/>
          <w:sz w:val="20"/>
          <w:szCs w:val="20"/>
          <w:lang w:val="en"/>
        </w:rPr>
        <w:t xml:space="preserve"> 424 F.3d 1374, 1379-80, 76 USPQ2d 1741, 1744 (Fed. Cir. 2005) and </w:t>
      </w:r>
      <w:hyperlink r:id="rId9" w:anchor="d0e203671" w:history="1">
        <w:r w:rsidRPr="008A5E49">
          <w:rPr>
            <w:rFonts w:ascii="Arial" w:eastAsia="Times New Roman" w:hAnsi="Arial" w:cs="Arial"/>
            <w:b/>
            <w:bCs/>
            <w:color w:val="0000FF"/>
            <w:sz w:val="20"/>
            <w:szCs w:val="20"/>
            <w:u w:val="single"/>
            <w:lang w:val="en"/>
          </w:rPr>
          <w:t>MPEP § 2133</w:t>
        </w:r>
      </w:hyperlink>
      <w:r w:rsidRPr="008A5E49">
        <w:rPr>
          <w:rFonts w:ascii="Arial" w:eastAsia="Times New Roman" w:hAnsi="Arial" w:cs="Arial"/>
          <w:color w:val="000000"/>
          <w:sz w:val="20"/>
          <w:szCs w:val="20"/>
          <w:lang w:val="en"/>
        </w:rPr>
        <w:t xml:space="preserve">. Under </w:t>
      </w:r>
      <w:hyperlink r:id="rId10"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the uses of an invention before the patent's critical date that constitute a “public use” fall into two categories: the use either “(1) was accessible to the public; or (2) was commercially exploited.” See </w:t>
      </w:r>
      <w:r w:rsidRPr="008A5E49">
        <w:rPr>
          <w:rFonts w:ascii="Arial" w:eastAsia="Times New Roman" w:hAnsi="Arial" w:cs="Arial"/>
          <w:i/>
          <w:iCs/>
          <w:color w:val="000000"/>
          <w:sz w:val="20"/>
          <w:szCs w:val="20"/>
          <w:lang w:val="en"/>
        </w:rPr>
        <w:t>American Seating Co. v. USSC Group, Inc.,</w:t>
      </w:r>
      <w:r w:rsidRPr="008A5E49">
        <w:rPr>
          <w:rFonts w:ascii="Arial" w:eastAsia="Times New Roman" w:hAnsi="Arial" w:cs="Arial"/>
          <w:color w:val="000000"/>
          <w:sz w:val="20"/>
          <w:szCs w:val="20"/>
          <w:lang w:val="en"/>
        </w:rPr>
        <w:t xml:space="preserve"> 514 F.3d 1262, 1267, 85 USPQ2d 1683, 1685 (Fed. Cir. 2008) and </w:t>
      </w:r>
      <w:hyperlink r:id="rId11" w:anchor="d0e203899" w:history="1">
        <w:r w:rsidRPr="008A5E49">
          <w:rPr>
            <w:rFonts w:ascii="Arial" w:eastAsia="Times New Roman" w:hAnsi="Arial" w:cs="Arial"/>
            <w:b/>
            <w:bCs/>
            <w:color w:val="0000FF"/>
            <w:sz w:val="20"/>
            <w:szCs w:val="20"/>
            <w:u w:val="single"/>
            <w:lang w:val="en"/>
          </w:rPr>
          <w:t>MPEP § 2133.03(a)</w:t>
        </w:r>
      </w:hyperlink>
      <w:r w:rsidRPr="008A5E49">
        <w:rPr>
          <w:rFonts w:ascii="Arial" w:eastAsia="Times New Roman" w:hAnsi="Arial" w:cs="Arial"/>
          <w:color w:val="000000"/>
          <w:sz w:val="20"/>
          <w:szCs w:val="20"/>
          <w:lang w:val="en"/>
        </w:rPr>
        <w:t xml:space="preserve">. Whether a use is a </w:t>
      </w:r>
      <w:hyperlink r:id="rId12"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public use also depends on who is making the use of the invention. “[W]hen an asserted prior use is not that of the applicant, </w:t>
      </w:r>
      <w:hyperlink r:id="rId13"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is not a bar when that prior use or knowledge is not available to the public.” See </w:t>
      </w:r>
      <w:r w:rsidRPr="008A5E49">
        <w:rPr>
          <w:rFonts w:ascii="Arial" w:eastAsia="Times New Roman" w:hAnsi="Arial" w:cs="Arial"/>
          <w:i/>
          <w:iCs/>
          <w:color w:val="000000"/>
          <w:sz w:val="20"/>
          <w:szCs w:val="20"/>
          <w:lang w:val="en"/>
        </w:rPr>
        <w:t xml:space="preserve">Woodland Trust v. </w:t>
      </w:r>
      <w:proofErr w:type="spellStart"/>
      <w:r w:rsidRPr="008A5E49">
        <w:rPr>
          <w:rFonts w:ascii="Arial" w:eastAsia="Times New Roman" w:hAnsi="Arial" w:cs="Arial"/>
          <w:i/>
          <w:iCs/>
          <w:color w:val="000000"/>
          <w:sz w:val="20"/>
          <w:szCs w:val="20"/>
          <w:lang w:val="en"/>
        </w:rPr>
        <w:t>Flowertree</w:t>
      </w:r>
      <w:proofErr w:type="spellEnd"/>
      <w:r w:rsidRPr="008A5E49">
        <w:rPr>
          <w:rFonts w:ascii="Arial" w:eastAsia="Times New Roman" w:hAnsi="Arial" w:cs="Arial"/>
          <w:i/>
          <w:iCs/>
          <w:color w:val="000000"/>
          <w:sz w:val="20"/>
          <w:szCs w:val="20"/>
          <w:lang w:val="en"/>
        </w:rPr>
        <w:t xml:space="preserve"> Nursery, Inc.,</w:t>
      </w:r>
      <w:r w:rsidRPr="008A5E49">
        <w:rPr>
          <w:rFonts w:ascii="Arial" w:eastAsia="Times New Roman" w:hAnsi="Arial" w:cs="Arial"/>
          <w:color w:val="000000"/>
          <w:sz w:val="20"/>
          <w:szCs w:val="20"/>
          <w:lang w:val="en"/>
        </w:rPr>
        <w:t xml:space="preserve"> 148 F.3d 1368, 1371, 47 USPQ2d 1363, 1366 (Fed. Cir. 1998). In other words, a use by a third party who did not obtain the invention from the inventor named in the application or patent is an</w:t>
      </w:r>
      <w:bookmarkStart w:id="0" w:name="_GoBack"/>
      <w:bookmarkEnd w:id="0"/>
      <w:r w:rsidRPr="008A5E49">
        <w:rPr>
          <w:rFonts w:ascii="Arial" w:eastAsia="Times New Roman" w:hAnsi="Arial" w:cs="Arial"/>
          <w:color w:val="000000"/>
          <w:sz w:val="20"/>
          <w:szCs w:val="20"/>
          <w:lang w:val="en"/>
        </w:rPr>
        <w:t xml:space="preserve"> invalidating use under </w:t>
      </w:r>
      <w:hyperlink r:id="rId14"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only if it falls into the first category: That the use was accessible to the public. See </w:t>
      </w:r>
      <w:hyperlink r:id="rId15" w:anchor="d0e203899" w:history="1">
        <w:r w:rsidRPr="008A5E49">
          <w:rPr>
            <w:rFonts w:ascii="Arial" w:eastAsia="Times New Roman" w:hAnsi="Arial" w:cs="Arial"/>
            <w:b/>
            <w:bCs/>
            <w:color w:val="0000FF"/>
            <w:sz w:val="20"/>
            <w:szCs w:val="20"/>
            <w:u w:val="single"/>
            <w:lang w:val="en"/>
          </w:rPr>
          <w:t>MPEP § 2133.03(a)</w:t>
        </w:r>
      </w:hyperlink>
      <w:r w:rsidRPr="008A5E49">
        <w:rPr>
          <w:rFonts w:ascii="Arial" w:eastAsia="Times New Roman" w:hAnsi="Arial" w:cs="Arial"/>
          <w:color w:val="000000"/>
          <w:sz w:val="20"/>
          <w:szCs w:val="20"/>
          <w:lang w:val="en"/>
        </w:rPr>
        <w:t xml:space="preserve">, subsection II.C. On the other hand, “an inventor's own prior commercial use, albeit kept secret, may constitute a public use or sale under </w:t>
      </w:r>
      <w:hyperlink r:id="rId16"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barring him from obtaining a patent.” See </w:t>
      </w:r>
      <w:r w:rsidRPr="008A5E49">
        <w:rPr>
          <w:rFonts w:ascii="Arial" w:eastAsia="Times New Roman" w:hAnsi="Arial" w:cs="Arial"/>
          <w:i/>
          <w:iCs/>
          <w:color w:val="000000"/>
          <w:sz w:val="20"/>
          <w:szCs w:val="20"/>
          <w:lang w:val="en"/>
        </w:rPr>
        <w:t>Woodland Trust,</w:t>
      </w:r>
      <w:r w:rsidRPr="008A5E49">
        <w:rPr>
          <w:rFonts w:ascii="Arial" w:eastAsia="Times New Roman" w:hAnsi="Arial" w:cs="Arial"/>
          <w:color w:val="000000"/>
          <w:sz w:val="20"/>
          <w:szCs w:val="20"/>
          <w:lang w:val="en"/>
        </w:rPr>
        <w:t xml:space="preserve"> 148 F.3d at 1370, 47 USPQ2d at 1366 and </w:t>
      </w:r>
      <w:hyperlink r:id="rId17" w:anchor="d0e203899" w:history="1">
        <w:r w:rsidRPr="008A5E49">
          <w:rPr>
            <w:rFonts w:ascii="Arial" w:eastAsia="Times New Roman" w:hAnsi="Arial" w:cs="Arial"/>
            <w:b/>
            <w:bCs/>
            <w:color w:val="0000FF"/>
            <w:sz w:val="20"/>
            <w:szCs w:val="20"/>
            <w:u w:val="single"/>
            <w:lang w:val="en"/>
          </w:rPr>
          <w:t>MPEP § 2133.03(a)</w:t>
        </w:r>
      </w:hyperlink>
      <w:r w:rsidRPr="008A5E49">
        <w:rPr>
          <w:rFonts w:ascii="Arial" w:eastAsia="Times New Roman" w:hAnsi="Arial" w:cs="Arial"/>
          <w:color w:val="000000"/>
          <w:sz w:val="20"/>
          <w:szCs w:val="20"/>
          <w:lang w:val="en"/>
        </w:rPr>
        <w:t xml:space="preserve">, subsection II.A. Also, an inventor creates a public use bar under </w:t>
      </w:r>
      <w:hyperlink r:id="rId18"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when the inventor shows the invention to, or allows it to be used by, another person who is “under no limitation, restriction, or obligation of confidentiality” to the inventor. See </w:t>
      </w:r>
      <w:r w:rsidRPr="008A5E49">
        <w:rPr>
          <w:rFonts w:ascii="Arial" w:eastAsia="Times New Roman" w:hAnsi="Arial" w:cs="Arial"/>
          <w:i/>
          <w:iCs/>
          <w:color w:val="000000"/>
          <w:sz w:val="20"/>
          <w:szCs w:val="20"/>
          <w:lang w:val="en"/>
        </w:rPr>
        <w:t>American Seating,</w:t>
      </w:r>
      <w:r w:rsidRPr="008A5E49">
        <w:rPr>
          <w:rFonts w:ascii="Arial" w:eastAsia="Times New Roman" w:hAnsi="Arial" w:cs="Arial"/>
          <w:color w:val="000000"/>
          <w:sz w:val="20"/>
          <w:szCs w:val="20"/>
          <w:lang w:val="en"/>
        </w:rPr>
        <w:t xml:space="preserve"> 514 F.3d at 1267 and </w:t>
      </w:r>
      <w:hyperlink r:id="rId19" w:anchor="d0e203899" w:history="1">
        <w:r w:rsidRPr="008A5E49">
          <w:rPr>
            <w:rFonts w:ascii="Arial" w:eastAsia="Times New Roman" w:hAnsi="Arial" w:cs="Arial"/>
            <w:b/>
            <w:bCs/>
            <w:color w:val="0000FF"/>
            <w:sz w:val="20"/>
            <w:szCs w:val="20"/>
            <w:u w:val="single"/>
            <w:lang w:val="en"/>
          </w:rPr>
          <w:t>MPEP § 2133.03(a)</w:t>
        </w:r>
      </w:hyperlink>
      <w:r w:rsidRPr="008A5E49">
        <w:rPr>
          <w:rFonts w:ascii="Arial" w:eastAsia="Times New Roman" w:hAnsi="Arial" w:cs="Arial"/>
          <w:color w:val="000000"/>
          <w:sz w:val="20"/>
          <w:szCs w:val="20"/>
          <w:lang w:val="en"/>
        </w:rPr>
        <w:t xml:space="preserve">, subsection II.B.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Further, under </w:t>
      </w:r>
      <w:hyperlink r:id="rId20" w:anchor="d0e302391" w:history="1">
        <w:r w:rsidRPr="008A5E49">
          <w:rPr>
            <w:rFonts w:ascii="Arial" w:eastAsia="Times New Roman" w:hAnsi="Arial" w:cs="Arial"/>
            <w:b/>
            <w:bCs/>
            <w:color w:val="0000FF"/>
            <w:sz w:val="20"/>
            <w:szCs w:val="20"/>
            <w:u w:val="single"/>
            <w:lang w:val="en"/>
          </w:rPr>
          <w:t>pre-AIA 35 U.S.C. 102(a)</w:t>
        </w:r>
      </w:hyperlink>
      <w:r w:rsidRPr="008A5E49">
        <w:rPr>
          <w:rFonts w:ascii="Arial" w:eastAsia="Times New Roman" w:hAnsi="Arial" w:cs="Arial"/>
          <w:color w:val="000000"/>
          <w:sz w:val="20"/>
          <w:szCs w:val="20"/>
          <w:lang w:val="en"/>
        </w:rPr>
        <w:t xml:space="preserve">, “in order to invalidate a patent based on prior knowledge or use” by another in this country prior to the patent's priority date, “that knowledge or use must have been available to the public.” See </w:t>
      </w:r>
      <w:r w:rsidRPr="008A5E49">
        <w:rPr>
          <w:rFonts w:ascii="Arial" w:eastAsia="Times New Roman" w:hAnsi="Arial" w:cs="Arial"/>
          <w:i/>
          <w:iCs/>
          <w:color w:val="000000"/>
          <w:sz w:val="20"/>
          <w:szCs w:val="20"/>
          <w:lang w:val="en"/>
        </w:rPr>
        <w:t>Woodland Trust,</w:t>
      </w:r>
      <w:r w:rsidRPr="008A5E49">
        <w:rPr>
          <w:rFonts w:ascii="Arial" w:eastAsia="Times New Roman" w:hAnsi="Arial" w:cs="Arial"/>
          <w:color w:val="000000"/>
          <w:sz w:val="20"/>
          <w:szCs w:val="20"/>
          <w:lang w:val="en"/>
        </w:rPr>
        <w:t xml:space="preserve"> 148 F.3d at 1370, 47 USPQ2d at 1366 and </w:t>
      </w:r>
      <w:hyperlink r:id="rId21" w:anchor="d0e203390" w:history="1">
        <w:r w:rsidRPr="008A5E49">
          <w:rPr>
            <w:rFonts w:ascii="Arial" w:eastAsia="Times New Roman" w:hAnsi="Arial" w:cs="Arial"/>
            <w:b/>
            <w:bCs/>
            <w:color w:val="0000FF"/>
            <w:sz w:val="20"/>
            <w:szCs w:val="20"/>
            <w:u w:val="single"/>
            <w:lang w:val="en"/>
          </w:rPr>
          <w:t>MPEP § 2132</w:t>
        </w:r>
      </w:hyperlink>
      <w:r w:rsidRPr="008A5E49">
        <w:rPr>
          <w:rFonts w:ascii="Arial" w:eastAsia="Times New Roman" w:hAnsi="Arial" w:cs="Arial"/>
          <w:color w:val="000000"/>
          <w:sz w:val="20"/>
          <w:szCs w:val="20"/>
          <w:lang w:val="en"/>
        </w:rPr>
        <w:t xml:space="preserve">, subsection I. Patent-defeating “use,” under </w:t>
      </w:r>
      <w:hyperlink r:id="rId22" w:anchor="d0e302391" w:history="1">
        <w:r w:rsidRPr="008A5E49">
          <w:rPr>
            <w:rFonts w:ascii="Arial" w:eastAsia="Times New Roman" w:hAnsi="Arial" w:cs="Arial"/>
            <w:b/>
            <w:bCs/>
            <w:color w:val="0000FF"/>
            <w:sz w:val="20"/>
            <w:szCs w:val="20"/>
            <w:u w:val="single"/>
            <w:lang w:val="en"/>
          </w:rPr>
          <w:t>pre-AIA 35 U.S.C. 102(a)</w:t>
        </w:r>
      </w:hyperlink>
      <w:r w:rsidRPr="008A5E49">
        <w:rPr>
          <w:rFonts w:ascii="Arial" w:eastAsia="Times New Roman" w:hAnsi="Arial" w:cs="Arial"/>
          <w:color w:val="000000"/>
          <w:sz w:val="20"/>
          <w:szCs w:val="20"/>
          <w:lang w:val="en"/>
        </w:rPr>
        <w:t xml:space="preserve"> includes only that “use which is accessible to the public.” See </w:t>
      </w:r>
      <w:r w:rsidRPr="008A5E49">
        <w:rPr>
          <w:rFonts w:ascii="Arial" w:eastAsia="Times New Roman" w:hAnsi="Arial" w:cs="Arial"/>
          <w:i/>
          <w:iCs/>
          <w:color w:val="000000"/>
          <w:sz w:val="20"/>
          <w:szCs w:val="20"/>
          <w:lang w:val="en"/>
        </w:rPr>
        <w:t>id.</w:t>
      </w:r>
      <w:r w:rsidRPr="008A5E49">
        <w:rPr>
          <w:rFonts w:ascii="Arial" w:eastAsia="Times New Roman" w:hAnsi="Arial" w:cs="Arial"/>
          <w:color w:val="000000"/>
          <w:sz w:val="20"/>
          <w:szCs w:val="20"/>
          <w:lang w:val="en"/>
        </w:rPr>
        <w:t xml:space="preserve"> (quoting </w:t>
      </w:r>
      <w:proofErr w:type="spellStart"/>
      <w:r w:rsidRPr="008A5E49">
        <w:rPr>
          <w:rFonts w:ascii="Arial" w:eastAsia="Times New Roman" w:hAnsi="Arial" w:cs="Arial"/>
          <w:i/>
          <w:iCs/>
          <w:color w:val="000000"/>
          <w:sz w:val="20"/>
          <w:szCs w:val="20"/>
          <w:lang w:val="en"/>
        </w:rPr>
        <w:t>Carella</w:t>
      </w:r>
      <w:proofErr w:type="spellEnd"/>
      <w:r w:rsidRPr="008A5E49">
        <w:rPr>
          <w:rFonts w:ascii="Arial" w:eastAsia="Times New Roman" w:hAnsi="Arial" w:cs="Arial"/>
          <w:i/>
          <w:iCs/>
          <w:color w:val="000000"/>
          <w:sz w:val="20"/>
          <w:szCs w:val="20"/>
          <w:lang w:val="en"/>
        </w:rPr>
        <w:t xml:space="preserve"> v. Starlight Archery,</w:t>
      </w:r>
      <w:r w:rsidRPr="008A5E49">
        <w:rPr>
          <w:rFonts w:ascii="Arial" w:eastAsia="Times New Roman" w:hAnsi="Arial" w:cs="Arial"/>
          <w:color w:val="000000"/>
          <w:sz w:val="20"/>
          <w:szCs w:val="20"/>
          <w:lang w:val="en"/>
        </w:rPr>
        <w:t xml:space="preserve"> 804 F.2d 135, 139, 231 USPQ 644, 646 (Fed. Cir. 1986)).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As discussed previously, public use under </w:t>
      </w:r>
      <w:hyperlink r:id="rId23"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is limited to those uses that are available to the public. The public use provision of </w:t>
      </w:r>
      <w:hyperlink r:id="rId24"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thus has the same substantive scope, with respect to uses by either the inventor or a third party, as public uses under </w:t>
      </w:r>
      <w:hyperlink r:id="rId25"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by unrelated third parties or others under </w:t>
      </w:r>
      <w:hyperlink r:id="rId26" w:anchor="d0e302391" w:history="1">
        <w:r w:rsidRPr="008A5E49">
          <w:rPr>
            <w:rFonts w:ascii="Arial" w:eastAsia="Times New Roman" w:hAnsi="Arial" w:cs="Arial"/>
            <w:b/>
            <w:bCs/>
            <w:color w:val="0000FF"/>
            <w:sz w:val="20"/>
            <w:szCs w:val="20"/>
            <w:u w:val="single"/>
            <w:lang w:val="en"/>
          </w:rPr>
          <w:t>pre-AIA 35 U.S.C. 102(a)</w:t>
        </w:r>
      </w:hyperlink>
      <w:r w:rsidRPr="008A5E49">
        <w:rPr>
          <w:rFonts w:ascii="Arial" w:eastAsia="Times New Roman" w:hAnsi="Arial" w:cs="Arial"/>
          <w:color w:val="000000"/>
          <w:sz w:val="20"/>
          <w:szCs w:val="20"/>
          <w:lang w:val="en"/>
        </w:rPr>
        <w:t xml:space="preserve">.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As also discussed previously, once an examiner becomes aware that a claimed invention has been the subject of a potentially public use, the examiner should require the applicant to provide information showing that the use did not make the claimed process accessible to the public. </w:t>
      </w:r>
    </w:p>
    <w:p w:rsidR="008A5E49" w:rsidRPr="008A5E49" w:rsidRDefault="008A5E49" w:rsidP="008A5E49">
      <w:pPr>
        <w:spacing w:before="240" w:after="240" w:line="240" w:lineRule="auto"/>
        <w:outlineLvl w:val="0"/>
        <w:rPr>
          <w:rFonts w:ascii="Arial" w:eastAsia="Times New Roman" w:hAnsi="Arial" w:cs="Arial"/>
          <w:b/>
          <w:bCs/>
          <w:color w:val="000000"/>
          <w:kern w:val="36"/>
          <w:sz w:val="28"/>
          <w:szCs w:val="28"/>
          <w:lang w:val="en"/>
        </w:rPr>
      </w:pPr>
      <w:r w:rsidRPr="008A5E49">
        <w:rPr>
          <w:rFonts w:ascii="Arial" w:eastAsia="Times New Roman" w:hAnsi="Arial" w:cs="Arial"/>
          <w:b/>
          <w:bCs/>
          <w:color w:val="000000"/>
          <w:kern w:val="36"/>
          <w:sz w:val="28"/>
          <w:szCs w:val="28"/>
          <w:lang w:val="en"/>
        </w:rPr>
        <w:t>2152.02(d)   On Sale [R-11.2013]</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i/>
          <w:iCs/>
          <w:color w:val="000000"/>
          <w:sz w:val="20"/>
          <w:szCs w:val="20"/>
          <w:lang w:val="en"/>
        </w:rPr>
        <w:t xml:space="preserve">[Editor Note: This MPEP section is </w:t>
      </w:r>
      <w:r w:rsidRPr="008A5E49">
        <w:rPr>
          <w:rFonts w:ascii="Arial" w:eastAsia="Times New Roman" w:hAnsi="Arial" w:cs="Arial"/>
          <w:b/>
          <w:bCs/>
          <w:i/>
          <w:iCs/>
          <w:color w:val="000000"/>
          <w:sz w:val="20"/>
          <w:szCs w:val="20"/>
          <w:lang w:val="en"/>
        </w:rPr>
        <w:t>only applicable</w:t>
      </w:r>
      <w:r w:rsidRPr="008A5E49">
        <w:rPr>
          <w:rFonts w:ascii="Arial" w:eastAsia="Times New Roman" w:hAnsi="Arial" w:cs="Arial"/>
          <w:i/>
          <w:iCs/>
          <w:color w:val="000000"/>
          <w:sz w:val="20"/>
          <w:szCs w:val="20"/>
          <w:lang w:val="en"/>
        </w:rPr>
        <w:t xml:space="preserve"> to applications subject to examination under the first inventor to file (FITF) provisions of the AIA as set forth in </w:t>
      </w:r>
      <w:hyperlink r:id="rId27" w:anchor="al_d1d917_1bef1_2b" w:history="1">
        <w:r w:rsidRPr="008A5E49">
          <w:rPr>
            <w:rFonts w:ascii="Arial" w:eastAsia="Times New Roman" w:hAnsi="Arial" w:cs="Arial"/>
            <w:b/>
            <w:bCs/>
            <w:i/>
            <w:iCs/>
            <w:color w:val="0000FF"/>
            <w:sz w:val="20"/>
            <w:szCs w:val="20"/>
            <w:u w:val="single"/>
            <w:lang w:val="en"/>
          </w:rPr>
          <w:t>35 U.S.C. 100 (note)</w:t>
        </w:r>
      </w:hyperlink>
      <w:r w:rsidRPr="008A5E49">
        <w:rPr>
          <w:rFonts w:ascii="Arial" w:eastAsia="Times New Roman" w:hAnsi="Arial" w:cs="Arial"/>
          <w:i/>
          <w:iCs/>
          <w:color w:val="000000"/>
          <w:sz w:val="20"/>
          <w:szCs w:val="20"/>
          <w:lang w:val="en"/>
        </w:rPr>
        <w:t xml:space="preserve">. See </w:t>
      </w:r>
      <w:hyperlink r:id="rId28" w:anchor="ch2100_d20034_1dc34_1dd" w:history="1">
        <w:r w:rsidRPr="008A5E49">
          <w:rPr>
            <w:rFonts w:ascii="Arial" w:eastAsia="Times New Roman" w:hAnsi="Arial" w:cs="Arial"/>
            <w:b/>
            <w:bCs/>
            <w:i/>
            <w:iCs/>
            <w:color w:val="0000FF"/>
            <w:sz w:val="20"/>
            <w:szCs w:val="20"/>
            <w:u w:val="single"/>
            <w:lang w:val="en"/>
          </w:rPr>
          <w:t>MPEP § 2159</w:t>
        </w:r>
      </w:hyperlink>
      <w:r w:rsidRPr="008A5E49">
        <w:rPr>
          <w:rFonts w:ascii="Arial" w:eastAsia="Times New Roman" w:hAnsi="Arial" w:cs="Arial"/>
          <w:i/>
          <w:iCs/>
          <w:color w:val="000000"/>
          <w:sz w:val="20"/>
          <w:szCs w:val="20"/>
          <w:lang w:val="en"/>
        </w:rPr>
        <w:t xml:space="preserve"> et seq. </w:t>
      </w:r>
      <w:r w:rsidRPr="008A5E49">
        <w:rPr>
          <w:rFonts w:ascii="Arial" w:eastAsia="Times New Roman" w:hAnsi="Arial" w:cs="Arial"/>
          <w:i/>
          <w:iCs/>
          <w:color w:val="000000"/>
          <w:sz w:val="20"/>
          <w:szCs w:val="20"/>
          <w:lang w:val="en"/>
        </w:rPr>
        <w:lastRenderedPageBreak/>
        <w:t xml:space="preserve">to determine whether an application is subject to examination under the FITF provisions, and </w:t>
      </w:r>
      <w:hyperlink r:id="rId29" w:anchor="d0e203781" w:history="1">
        <w:r w:rsidRPr="008A5E49">
          <w:rPr>
            <w:rFonts w:ascii="Arial" w:eastAsia="Times New Roman" w:hAnsi="Arial" w:cs="Arial"/>
            <w:b/>
            <w:bCs/>
            <w:i/>
            <w:iCs/>
            <w:color w:val="0000FF"/>
            <w:sz w:val="20"/>
            <w:szCs w:val="20"/>
            <w:u w:val="single"/>
            <w:lang w:val="en"/>
          </w:rPr>
          <w:t>MPEP § 2133.03</w:t>
        </w:r>
      </w:hyperlink>
      <w:r w:rsidRPr="008A5E49">
        <w:rPr>
          <w:rFonts w:ascii="Arial" w:eastAsia="Times New Roman" w:hAnsi="Arial" w:cs="Arial"/>
          <w:i/>
          <w:iCs/>
          <w:color w:val="000000"/>
          <w:sz w:val="20"/>
          <w:szCs w:val="20"/>
          <w:lang w:val="en"/>
        </w:rPr>
        <w:t xml:space="preserve"> et seq. for information about on sale in regard to applications subject to </w:t>
      </w:r>
      <w:hyperlink r:id="rId30" w:anchor="d0e302383" w:history="1">
        <w:r w:rsidRPr="008A5E49">
          <w:rPr>
            <w:rFonts w:ascii="Arial" w:eastAsia="Times New Roman" w:hAnsi="Arial" w:cs="Arial"/>
            <w:b/>
            <w:bCs/>
            <w:i/>
            <w:iCs/>
            <w:color w:val="0000FF"/>
            <w:sz w:val="20"/>
            <w:szCs w:val="20"/>
            <w:u w:val="single"/>
            <w:lang w:val="en"/>
          </w:rPr>
          <w:t>pre-AIA 35 U.S.C. 102</w:t>
        </w:r>
      </w:hyperlink>
      <w:r w:rsidRPr="008A5E49">
        <w:rPr>
          <w:rFonts w:ascii="Arial" w:eastAsia="Times New Roman" w:hAnsi="Arial" w:cs="Arial"/>
          <w:i/>
          <w:iCs/>
          <w:color w:val="000000"/>
          <w:sz w:val="20"/>
          <w:szCs w:val="20"/>
          <w:lang w:val="en"/>
        </w:rPr>
        <w:t>.]</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The pre-AIA case law indicates that on sale activity will bar patentability if the claimed invention was: (1) the subject of a commercial sale or offer for sale, not primarily for experimental purposes; and (2) ready for patenting. See </w:t>
      </w:r>
      <w:r w:rsidRPr="008A5E49">
        <w:rPr>
          <w:rFonts w:ascii="Arial" w:eastAsia="Times New Roman" w:hAnsi="Arial" w:cs="Arial"/>
          <w:i/>
          <w:iCs/>
          <w:color w:val="000000"/>
          <w:sz w:val="20"/>
          <w:szCs w:val="20"/>
          <w:lang w:val="en"/>
        </w:rPr>
        <w:t xml:space="preserve">Pfaff v. Wells </w:t>
      </w:r>
      <w:proofErr w:type="spellStart"/>
      <w:r w:rsidRPr="008A5E49">
        <w:rPr>
          <w:rFonts w:ascii="Arial" w:eastAsia="Times New Roman" w:hAnsi="Arial" w:cs="Arial"/>
          <w:i/>
          <w:iCs/>
          <w:color w:val="000000"/>
          <w:sz w:val="20"/>
          <w:szCs w:val="20"/>
          <w:lang w:val="en"/>
        </w:rPr>
        <w:t>Elecs</w:t>
      </w:r>
      <w:proofErr w:type="spellEnd"/>
      <w:r w:rsidRPr="008A5E49">
        <w:rPr>
          <w:rFonts w:ascii="Arial" w:eastAsia="Times New Roman" w:hAnsi="Arial" w:cs="Arial"/>
          <w:i/>
          <w:iCs/>
          <w:color w:val="000000"/>
          <w:sz w:val="20"/>
          <w:szCs w:val="20"/>
          <w:lang w:val="en"/>
        </w:rPr>
        <w:t>., Inc.,</w:t>
      </w:r>
      <w:r w:rsidRPr="008A5E49">
        <w:rPr>
          <w:rFonts w:ascii="Arial" w:eastAsia="Times New Roman" w:hAnsi="Arial" w:cs="Arial"/>
          <w:color w:val="000000"/>
          <w:sz w:val="20"/>
          <w:szCs w:val="20"/>
          <w:lang w:val="en"/>
        </w:rPr>
        <w:t xml:space="preserve"> 525 U.S. 55, 67, 48 USPQ2d 1641, 1646-47 (1998). Contract law principles apply in order to determine whether a commercial sale or offer for sale occurred. In addition, the enablement inquiry is not applicable to the question of whether a claimed invention is “on sale” under </w:t>
      </w:r>
      <w:hyperlink r:id="rId31"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See </w:t>
      </w:r>
      <w:r w:rsidRPr="008A5E49">
        <w:rPr>
          <w:rFonts w:ascii="Arial" w:eastAsia="Times New Roman" w:hAnsi="Arial" w:cs="Arial"/>
          <w:i/>
          <w:iCs/>
          <w:color w:val="000000"/>
          <w:sz w:val="20"/>
          <w:szCs w:val="20"/>
          <w:lang w:val="en"/>
        </w:rPr>
        <w:t>Epstein,</w:t>
      </w:r>
      <w:r w:rsidRPr="008A5E49">
        <w:rPr>
          <w:rFonts w:ascii="Arial" w:eastAsia="Times New Roman" w:hAnsi="Arial" w:cs="Arial"/>
          <w:color w:val="000000"/>
          <w:sz w:val="20"/>
          <w:szCs w:val="20"/>
          <w:lang w:val="en"/>
        </w:rPr>
        <w:t xml:space="preserve"> 32 F.3d at 1568, 31 USPQ2d at 1824. The phrase “on sale” in </w:t>
      </w:r>
      <w:hyperlink r:id="rId32"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is treated as having the same meaning as “on sale” in </w:t>
      </w:r>
      <w:hyperlink r:id="rId33"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except that the sale must make the invention available to the public. For a discussion of “on sale” as used in </w:t>
      </w:r>
      <w:hyperlink r:id="rId34"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see generally </w:t>
      </w:r>
      <w:hyperlink r:id="rId35" w:anchor="d0e204201" w:history="1">
        <w:r w:rsidRPr="008A5E49">
          <w:rPr>
            <w:rFonts w:ascii="Arial" w:eastAsia="Times New Roman" w:hAnsi="Arial" w:cs="Arial"/>
            <w:b/>
            <w:bCs/>
            <w:color w:val="0000FF"/>
            <w:sz w:val="20"/>
            <w:szCs w:val="20"/>
            <w:u w:val="single"/>
            <w:lang w:val="en"/>
          </w:rPr>
          <w:t>MPEP § 2133.03(b)</w:t>
        </w:r>
      </w:hyperlink>
      <w:r w:rsidRPr="008A5E49">
        <w:rPr>
          <w:rFonts w:ascii="Arial" w:eastAsia="Times New Roman" w:hAnsi="Arial" w:cs="Arial"/>
          <w:i/>
          <w:iCs/>
          <w:color w:val="000000"/>
          <w:sz w:val="20"/>
          <w:szCs w:val="20"/>
          <w:lang w:val="en"/>
        </w:rPr>
        <w:t>et seq.</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Under </w:t>
      </w:r>
      <w:hyperlink r:id="rId36"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if an invention was “on sale,” patentability was precluded only if the invention was on sale “in this country.” See </w:t>
      </w:r>
      <w:hyperlink r:id="rId37" w:anchor="d0e204651" w:history="1">
        <w:r w:rsidRPr="008A5E49">
          <w:rPr>
            <w:rFonts w:ascii="Arial" w:eastAsia="Times New Roman" w:hAnsi="Arial" w:cs="Arial"/>
            <w:b/>
            <w:bCs/>
            <w:color w:val="0000FF"/>
            <w:sz w:val="20"/>
            <w:szCs w:val="20"/>
            <w:u w:val="single"/>
            <w:lang w:val="en"/>
          </w:rPr>
          <w:t>MPEP § 2133.03(d)</w:t>
        </w:r>
      </w:hyperlink>
      <w:r w:rsidRPr="008A5E49">
        <w:rPr>
          <w:rFonts w:ascii="Arial" w:eastAsia="Times New Roman" w:hAnsi="Arial" w:cs="Arial"/>
          <w:color w:val="000000"/>
          <w:sz w:val="20"/>
          <w:szCs w:val="20"/>
          <w:lang w:val="en"/>
        </w:rPr>
        <w:t xml:space="preserve">. Under </w:t>
      </w:r>
      <w:hyperlink r:id="rId38"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there is no geographic limitation on where the sale or offer for sale may occur. When formulating a rejection, Office personnel should consider evidence of sales activity, regardless of where the sale activity took place.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The </w:t>
      </w:r>
      <w:hyperlink r:id="rId39"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“on sale” provision has been interpreted as including commercial activity even if the activity is secret. See </w:t>
      </w:r>
      <w:hyperlink r:id="rId40" w:anchor="d0e204201" w:history="1">
        <w:r w:rsidRPr="008A5E49">
          <w:rPr>
            <w:rFonts w:ascii="Arial" w:eastAsia="Times New Roman" w:hAnsi="Arial" w:cs="Arial"/>
            <w:b/>
            <w:bCs/>
            <w:color w:val="0000FF"/>
            <w:sz w:val="20"/>
            <w:szCs w:val="20"/>
            <w:u w:val="single"/>
            <w:lang w:val="en"/>
          </w:rPr>
          <w:t>MPEP § 2133.03(b)</w:t>
        </w:r>
      </w:hyperlink>
      <w:r w:rsidRPr="008A5E49">
        <w:rPr>
          <w:rFonts w:ascii="Arial" w:eastAsia="Times New Roman" w:hAnsi="Arial" w:cs="Arial"/>
          <w:color w:val="000000"/>
          <w:sz w:val="20"/>
          <w:szCs w:val="20"/>
          <w:lang w:val="en"/>
        </w:rPr>
        <w:t xml:space="preserve">, subsection III.A. </w:t>
      </w:r>
      <w:hyperlink r:id="rId41"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uses the same “on sale” term as </w:t>
      </w:r>
      <w:hyperlink r:id="rId42" w:anchor="d0e302395" w:history="1">
        <w:r w:rsidRPr="008A5E49">
          <w:rPr>
            <w:rFonts w:ascii="Arial" w:eastAsia="Times New Roman" w:hAnsi="Arial" w:cs="Arial"/>
            <w:b/>
            <w:bCs/>
            <w:color w:val="0000FF"/>
            <w:sz w:val="20"/>
            <w:szCs w:val="20"/>
            <w:u w:val="single"/>
            <w:lang w:val="en"/>
          </w:rPr>
          <w:t>pre-AIA 35 U.S.C. 102(b)</w:t>
        </w:r>
      </w:hyperlink>
      <w:r w:rsidRPr="008A5E49">
        <w:rPr>
          <w:rFonts w:ascii="Arial" w:eastAsia="Times New Roman" w:hAnsi="Arial" w:cs="Arial"/>
          <w:color w:val="000000"/>
          <w:sz w:val="20"/>
          <w:szCs w:val="20"/>
          <w:lang w:val="en"/>
        </w:rPr>
        <w:t xml:space="preserve">. The “or otherwise available to the public” residual clause of </w:t>
      </w:r>
      <w:hyperlink r:id="rId43"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however, indicates that </w:t>
      </w:r>
      <w:hyperlink r:id="rId44"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does not cover secret sales or offers for sale. For example, an activity (such as a sale, offer for sale, or other commercial activity) is secret (non-public) if it is among individuals having an obligation of confidentiality to the inventor. </w:t>
      </w:r>
    </w:p>
    <w:p w:rsidR="008A5E49" w:rsidRPr="008A5E49" w:rsidRDefault="008A5E49" w:rsidP="008A5E49">
      <w:pPr>
        <w:spacing w:before="240" w:after="240" w:line="240" w:lineRule="auto"/>
        <w:outlineLvl w:val="0"/>
        <w:rPr>
          <w:rFonts w:ascii="Arial" w:eastAsia="Times New Roman" w:hAnsi="Arial" w:cs="Arial"/>
          <w:b/>
          <w:bCs/>
          <w:color w:val="000000"/>
          <w:kern w:val="36"/>
          <w:sz w:val="28"/>
          <w:szCs w:val="28"/>
          <w:lang w:val="en"/>
        </w:rPr>
      </w:pPr>
      <w:r w:rsidRPr="008A5E49">
        <w:rPr>
          <w:rFonts w:ascii="Arial" w:eastAsia="Times New Roman" w:hAnsi="Arial" w:cs="Arial"/>
          <w:b/>
          <w:bCs/>
          <w:color w:val="000000"/>
          <w:kern w:val="36"/>
          <w:sz w:val="28"/>
          <w:szCs w:val="28"/>
          <w:lang w:val="en"/>
        </w:rPr>
        <w:t>2152.02(e)   Otherwise Available to the Public [R-11.2013]</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i/>
          <w:iCs/>
          <w:color w:val="000000"/>
          <w:sz w:val="20"/>
          <w:szCs w:val="20"/>
          <w:lang w:val="en"/>
        </w:rPr>
        <w:t xml:space="preserve">[Editor Note: This MPEP section is </w:t>
      </w:r>
      <w:r w:rsidRPr="008A5E49">
        <w:rPr>
          <w:rFonts w:ascii="Arial" w:eastAsia="Times New Roman" w:hAnsi="Arial" w:cs="Arial"/>
          <w:b/>
          <w:bCs/>
          <w:i/>
          <w:iCs/>
          <w:color w:val="000000"/>
          <w:sz w:val="20"/>
          <w:szCs w:val="20"/>
          <w:lang w:val="en"/>
        </w:rPr>
        <w:t>only applicable</w:t>
      </w:r>
      <w:r w:rsidRPr="008A5E49">
        <w:rPr>
          <w:rFonts w:ascii="Arial" w:eastAsia="Times New Roman" w:hAnsi="Arial" w:cs="Arial"/>
          <w:i/>
          <w:iCs/>
          <w:color w:val="000000"/>
          <w:sz w:val="20"/>
          <w:szCs w:val="20"/>
          <w:lang w:val="en"/>
        </w:rPr>
        <w:t xml:space="preserve"> to applications subject to examination under the first inventor to file (FITF) provisions of the AIA as set forth in </w:t>
      </w:r>
      <w:hyperlink r:id="rId45" w:anchor="al_d1d917_1bef1_2b" w:history="1">
        <w:r w:rsidRPr="008A5E49">
          <w:rPr>
            <w:rFonts w:ascii="Arial" w:eastAsia="Times New Roman" w:hAnsi="Arial" w:cs="Arial"/>
            <w:b/>
            <w:bCs/>
            <w:i/>
            <w:iCs/>
            <w:color w:val="0000FF"/>
            <w:sz w:val="20"/>
            <w:szCs w:val="20"/>
            <w:u w:val="single"/>
            <w:lang w:val="en"/>
          </w:rPr>
          <w:t>35 U.S.C. 100 (note)</w:t>
        </w:r>
      </w:hyperlink>
      <w:r w:rsidRPr="008A5E49">
        <w:rPr>
          <w:rFonts w:ascii="Arial" w:eastAsia="Times New Roman" w:hAnsi="Arial" w:cs="Arial"/>
          <w:i/>
          <w:iCs/>
          <w:color w:val="000000"/>
          <w:sz w:val="20"/>
          <w:szCs w:val="20"/>
          <w:lang w:val="en"/>
        </w:rPr>
        <w:t xml:space="preserve">. See </w:t>
      </w:r>
      <w:hyperlink r:id="rId46" w:anchor="ch2100_d20034_1dc34_1dd" w:history="1">
        <w:r w:rsidRPr="008A5E49">
          <w:rPr>
            <w:rFonts w:ascii="Arial" w:eastAsia="Times New Roman" w:hAnsi="Arial" w:cs="Arial"/>
            <w:b/>
            <w:bCs/>
            <w:i/>
            <w:iCs/>
            <w:color w:val="0000FF"/>
            <w:sz w:val="20"/>
            <w:szCs w:val="20"/>
            <w:u w:val="single"/>
            <w:lang w:val="en"/>
          </w:rPr>
          <w:t>MPEP § 2159</w:t>
        </w:r>
      </w:hyperlink>
      <w:r w:rsidRPr="008A5E49">
        <w:rPr>
          <w:rFonts w:ascii="Arial" w:eastAsia="Times New Roman" w:hAnsi="Arial" w:cs="Arial"/>
          <w:i/>
          <w:iCs/>
          <w:color w:val="000000"/>
          <w:sz w:val="20"/>
          <w:szCs w:val="20"/>
          <w:lang w:val="en"/>
        </w:rPr>
        <w:t xml:space="preserve"> et seq. to determine whether an application is subject to examination under the FITF provisions, and </w:t>
      </w:r>
      <w:hyperlink r:id="rId47" w:anchor="d0e202959" w:history="1">
        <w:r w:rsidRPr="008A5E49">
          <w:rPr>
            <w:rFonts w:ascii="Arial" w:eastAsia="Times New Roman" w:hAnsi="Arial" w:cs="Arial"/>
            <w:b/>
            <w:bCs/>
            <w:i/>
            <w:iCs/>
            <w:color w:val="0000FF"/>
            <w:sz w:val="20"/>
            <w:szCs w:val="20"/>
            <w:u w:val="single"/>
            <w:lang w:val="en"/>
          </w:rPr>
          <w:t>MPEP § 2131</w:t>
        </w:r>
      </w:hyperlink>
      <w:r w:rsidRPr="008A5E49">
        <w:rPr>
          <w:rFonts w:ascii="Arial" w:eastAsia="Times New Roman" w:hAnsi="Arial" w:cs="Arial"/>
          <w:i/>
          <w:iCs/>
          <w:color w:val="000000"/>
          <w:sz w:val="20"/>
          <w:szCs w:val="20"/>
          <w:lang w:val="en"/>
        </w:rPr>
        <w:t>-</w:t>
      </w:r>
      <w:hyperlink r:id="rId48" w:anchor="d0e207005" w:history="1">
        <w:r w:rsidRPr="008A5E49">
          <w:rPr>
            <w:rFonts w:ascii="Arial" w:eastAsia="Times New Roman" w:hAnsi="Arial" w:cs="Arial"/>
            <w:b/>
            <w:bCs/>
            <w:i/>
            <w:iCs/>
            <w:color w:val="0000FF"/>
            <w:sz w:val="20"/>
            <w:szCs w:val="20"/>
            <w:u w:val="single"/>
            <w:lang w:val="en"/>
          </w:rPr>
          <w:t>MPEP § 2138</w:t>
        </w:r>
      </w:hyperlink>
      <w:r w:rsidRPr="008A5E49">
        <w:rPr>
          <w:rFonts w:ascii="Arial" w:eastAsia="Times New Roman" w:hAnsi="Arial" w:cs="Arial"/>
          <w:i/>
          <w:iCs/>
          <w:color w:val="000000"/>
          <w:sz w:val="20"/>
          <w:szCs w:val="20"/>
          <w:lang w:val="en"/>
        </w:rPr>
        <w:t xml:space="preserve"> for examination of applications subject to </w:t>
      </w:r>
      <w:hyperlink r:id="rId49" w:anchor="d0e302383" w:history="1">
        <w:r w:rsidRPr="008A5E49">
          <w:rPr>
            <w:rFonts w:ascii="Arial" w:eastAsia="Times New Roman" w:hAnsi="Arial" w:cs="Arial"/>
            <w:b/>
            <w:bCs/>
            <w:i/>
            <w:iCs/>
            <w:color w:val="0000FF"/>
            <w:sz w:val="20"/>
            <w:szCs w:val="20"/>
            <w:u w:val="single"/>
            <w:lang w:val="en"/>
          </w:rPr>
          <w:t>pre-AIA 35 U.S.C. 102</w:t>
        </w:r>
      </w:hyperlink>
      <w:r w:rsidRPr="008A5E49">
        <w:rPr>
          <w:rFonts w:ascii="Arial" w:eastAsia="Times New Roman" w:hAnsi="Arial" w:cs="Arial"/>
          <w:i/>
          <w:iCs/>
          <w:color w:val="000000"/>
          <w:sz w:val="20"/>
          <w:szCs w:val="20"/>
          <w:lang w:val="en"/>
        </w:rPr>
        <w:t>.]</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hyperlink r:id="rId50"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provides a “catch-all” provision, which defines a new additional category of potential prior art not provided for in </w:t>
      </w:r>
      <w:hyperlink r:id="rId51" w:anchor="d0e302383" w:history="1">
        <w:r w:rsidRPr="008A5E49">
          <w:rPr>
            <w:rFonts w:ascii="Arial" w:eastAsia="Times New Roman" w:hAnsi="Arial" w:cs="Arial"/>
            <w:b/>
            <w:bCs/>
            <w:color w:val="0000FF"/>
            <w:sz w:val="20"/>
            <w:szCs w:val="20"/>
            <w:u w:val="single"/>
            <w:lang w:val="en"/>
          </w:rPr>
          <w:t>pre-AIA 35 U.S.C. 102</w:t>
        </w:r>
      </w:hyperlink>
      <w:r w:rsidRPr="008A5E49">
        <w:rPr>
          <w:rFonts w:ascii="Arial" w:eastAsia="Times New Roman" w:hAnsi="Arial" w:cs="Arial"/>
          <w:color w:val="000000"/>
          <w:sz w:val="20"/>
          <w:szCs w:val="20"/>
          <w:lang w:val="en"/>
        </w:rPr>
        <w:t xml:space="preserve">. Specifically, a claimed invention is not entitled to a patent if it was “otherwise available to the public” before its effective filing date. This “catch-all” provision permits decision makers to focus on whether the disclosure was “available to the public,” rather than on the means by which the claimed invention became available to the public or whether a disclosure constitutes a “printed publication” or falls within another category of prior art as defined in </w:t>
      </w:r>
      <w:hyperlink r:id="rId52"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The availability of the subject matter to the public may arise in situations such as a student thesis in a university library (see, e.g., </w:t>
      </w:r>
      <w:r w:rsidRPr="008A5E49">
        <w:rPr>
          <w:rFonts w:ascii="Arial" w:eastAsia="Times New Roman" w:hAnsi="Arial" w:cs="Arial"/>
          <w:i/>
          <w:iCs/>
          <w:color w:val="000000"/>
          <w:sz w:val="20"/>
          <w:szCs w:val="20"/>
          <w:lang w:val="en"/>
        </w:rPr>
        <w:t xml:space="preserve">In re </w:t>
      </w:r>
      <w:proofErr w:type="spellStart"/>
      <w:r w:rsidRPr="008A5E49">
        <w:rPr>
          <w:rFonts w:ascii="Arial" w:eastAsia="Times New Roman" w:hAnsi="Arial" w:cs="Arial"/>
          <w:i/>
          <w:iCs/>
          <w:color w:val="000000"/>
          <w:sz w:val="20"/>
          <w:szCs w:val="20"/>
          <w:lang w:val="en"/>
        </w:rPr>
        <w:t>Cronyn</w:t>
      </w:r>
      <w:proofErr w:type="spellEnd"/>
      <w:r w:rsidRPr="008A5E49">
        <w:rPr>
          <w:rFonts w:ascii="Arial" w:eastAsia="Times New Roman" w:hAnsi="Arial" w:cs="Arial"/>
          <w:i/>
          <w:iCs/>
          <w:color w:val="000000"/>
          <w:sz w:val="20"/>
          <w:szCs w:val="20"/>
          <w:lang w:val="en"/>
        </w:rPr>
        <w:t>,</w:t>
      </w:r>
      <w:r w:rsidRPr="008A5E49">
        <w:rPr>
          <w:rFonts w:ascii="Arial" w:eastAsia="Times New Roman" w:hAnsi="Arial" w:cs="Arial"/>
          <w:color w:val="000000"/>
          <w:sz w:val="20"/>
          <w:szCs w:val="20"/>
          <w:lang w:val="en"/>
        </w:rPr>
        <w:t xml:space="preserve"> 890 F.2d 1158, 13 USPQ2d 1070 (Fed. Cir. 1989); </w:t>
      </w:r>
      <w:r w:rsidRPr="008A5E49">
        <w:rPr>
          <w:rFonts w:ascii="Arial" w:eastAsia="Times New Roman" w:hAnsi="Arial" w:cs="Arial"/>
          <w:i/>
          <w:iCs/>
          <w:color w:val="000000"/>
          <w:sz w:val="20"/>
          <w:szCs w:val="20"/>
          <w:lang w:val="en"/>
        </w:rPr>
        <w:t>In re Hall,</w:t>
      </w:r>
      <w:r w:rsidRPr="008A5E49">
        <w:rPr>
          <w:rFonts w:ascii="Arial" w:eastAsia="Times New Roman" w:hAnsi="Arial" w:cs="Arial"/>
          <w:color w:val="000000"/>
          <w:sz w:val="20"/>
          <w:szCs w:val="20"/>
          <w:lang w:val="en"/>
        </w:rPr>
        <w:t xml:space="preserve"> 781 F.2d 897, 228 USPQ 453 (Fed. Cir. 1986); </w:t>
      </w:r>
      <w:r w:rsidRPr="008A5E49">
        <w:rPr>
          <w:rFonts w:ascii="Arial" w:eastAsia="Times New Roman" w:hAnsi="Arial" w:cs="Arial"/>
          <w:i/>
          <w:iCs/>
          <w:color w:val="000000"/>
          <w:sz w:val="20"/>
          <w:szCs w:val="20"/>
          <w:lang w:val="en"/>
        </w:rPr>
        <w:t>In re Bayer,</w:t>
      </w:r>
      <w:r w:rsidRPr="008A5E49">
        <w:rPr>
          <w:rFonts w:ascii="Arial" w:eastAsia="Times New Roman" w:hAnsi="Arial" w:cs="Arial"/>
          <w:color w:val="000000"/>
          <w:sz w:val="20"/>
          <w:szCs w:val="20"/>
          <w:lang w:val="en"/>
        </w:rPr>
        <w:t xml:space="preserve"> 568 F.2d 1357, 196 USPQ 670 (CCPA 1978) and </w:t>
      </w:r>
      <w:hyperlink r:id="rId53" w:anchor="d0e202706" w:history="1">
        <w:r w:rsidRPr="008A5E49">
          <w:rPr>
            <w:rFonts w:ascii="Arial" w:eastAsia="Times New Roman" w:hAnsi="Arial" w:cs="Arial"/>
            <w:b/>
            <w:bCs/>
            <w:color w:val="0000FF"/>
            <w:sz w:val="20"/>
            <w:szCs w:val="20"/>
            <w:u w:val="single"/>
            <w:lang w:val="en"/>
          </w:rPr>
          <w:t>MPEP § 2128.01</w:t>
        </w:r>
      </w:hyperlink>
      <w:r w:rsidRPr="008A5E49">
        <w:rPr>
          <w:rFonts w:ascii="Arial" w:eastAsia="Times New Roman" w:hAnsi="Arial" w:cs="Arial"/>
          <w:color w:val="000000"/>
          <w:sz w:val="20"/>
          <w:szCs w:val="20"/>
          <w:lang w:val="en"/>
        </w:rPr>
        <w:t xml:space="preserve">, subsection I.); a poster display or other information disseminated at a scientific meeting (see, e.g., </w:t>
      </w:r>
      <w:r w:rsidRPr="008A5E49">
        <w:rPr>
          <w:rFonts w:ascii="Arial" w:eastAsia="Times New Roman" w:hAnsi="Arial" w:cs="Arial"/>
          <w:i/>
          <w:iCs/>
          <w:color w:val="000000"/>
          <w:sz w:val="20"/>
          <w:szCs w:val="20"/>
          <w:lang w:val="en"/>
        </w:rPr>
        <w:t>In re Klopfenstein,</w:t>
      </w:r>
      <w:r w:rsidRPr="008A5E49">
        <w:rPr>
          <w:rFonts w:ascii="Arial" w:eastAsia="Times New Roman" w:hAnsi="Arial" w:cs="Arial"/>
          <w:color w:val="000000"/>
          <w:sz w:val="20"/>
          <w:szCs w:val="20"/>
          <w:lang w:val="en"/>
        </w:rPr>
        <w:t xml:space="preserve"> 380 F.3d 1345, 72 USPQ2d 1117 (Fed. Cir. 2004), </w:t>
      </w:r>
      <w:r w:rsidRPr="008A5E49">
        <w:rPr>
          <w:rFonts w:ascii="Arial" w:eastAsia="Times New Roman" w:hAnsi="Arial" w:cs="Arial"/>
          <w:i/>
          <w:iCs/>
          <w:color w:val="000000"/>
          <w:sz w:val="20"/>
          <w:szCs w:val="20"/>
          <w:lang w:val="en"/>
        </w:rPr>
        <w:t xml:space="preserve">Massachusetts Institute of Technology v. AB </w:t>
      </w:r>
      <w:proofErr w:type="spellStart"/>
      <w:r w:rsidRPr="008A5E49">
        <w:rPr>
          <w:rFonts w:ascii="Arial" w:eastAsia="Times New Roman" w:hAnsi="Arial" w:cs="Arial"/>
          <w:i/>
          <w:iCs/>
          <w:color w:val="000000"/>
          <w:sz w:val="20"/>
          <w:szCs w:val="20"/>
          <w:lang w:val="en"/>
        </w:rPr>
        <w:t>Fortia</w:t>
      </w:r>
      <w:proofErr w:type="spellEnd"/>
      <w:r w:rsidRPr="008A5E49">
        <w:rPr>
          <w:rFonts w:ascii="Arial" w:eastAsia="Times New Roman" w:hAnsi="Arial" w:cs="Arial"/>
          <w:i/>
          <w:iCs/>
          <w:color w:val="000000"/>
          <w:sz w:val="20"/>
          <w:szCs w:val="20"/>
          <w:lang w:val="en"/>
        </w:rPr>
        <w:t>,</w:t>
      </w:r>
      <w:r w:rsidRPr="008A5E49">
        <w:rPr>
          <w:rFonts w:ascii="Arial" w:eastAsia="Times New Roman" w:hAnsi="Arial" w:cs="Arial"/>
          <w:color w:val="000000"/>
          <w:sz w:val="20"/>
          <w:szCs w:val="20"/>
          <w:lang w:val="en"/>
        </w:rPr>
        <w:t xml:space="preserve"> 774 F.2d 1104, 227 USPQ 428 (Fed. Cir. 1985) and </w:t>
      </w:r>
      <w:hyperlink r:id="rId54" w:anchor="d0e202706" w:history="1">
        <w:r w:rsidRPr="008A5E49">
          <w:rPr>
            <w:rFonts w:ascii="Arial" w:eastAsia="Times New Roman" w:hAnsi="Arial" w:cs="Arial"/>
            <w:b/>
            <w:bCs/>
            <w:color w:val="0000FF"/>
            <w:sz w:val="20"/>
            <w:szCs w:val="20"/>
            <w:u w:val="single"/>
            <w:lang w:val="en"/>
          </w:rPr>
          <w:t>MPEP § 2128.01</w:t>
        </w:r>
      </w:hyperlink>
      <w:r w:rsidRPr="008A5E49">
        <w:rPr>
          <w:rFonts w:ascii="Arial" w:eastAsia="Times New Roman" w:hAnsi="Arial" w:cs="Arial"/>
          <w:color w:val="000000"/>
          <w:sz w:val="20"/>
          <w:szCs w:val="20"/>
          <w:lang w:val="en"/>
        </w:rPr>
        <w:t xml:space="preserve">, subsection IV.); subject matter in a laid-open patent application or patent (see, e.g., </w:t>
      </w:r>
      <w:r w:rsidRPr="008A5E49">
        <w:rPr>
          <w:rFonts w:ascii="Arial" w:eastAsia="Times New Roman" w:hAnsi="Arial" w:cs="Arial"/>
          <w:i/>
          <w:iCs/>
          <w:color w:val="000000"/>
          <w:sz w:val="20"/>
          <w:szCs w:val="20"/>
          <w:lang w:val="en"/>
        </w:rPr>
        <w:t xml:space="preserve">In re </w:t>
      </w:r>
      <w:proofErr w:type="spellStart"/>
      <w:r w:rsidRPr="008A5E49">
        <w:rPr>
          <w:rFonts w:ascii="Arial" w:eastAsia="Times New Roman" w:hAnsi="Arial" w:cs="Arial"/>
          <w:i/>
          <w:iCs/>
          <w:color w:val="000000"/>
          <w:sz w:val="20"/>
          <w:szCs w:val="20"/>
          <w:lang w:val="en"/>
        </w:rPr>
        <w:t>Wyer</w:t>
      </w:r>
      <w:proofErr w:type="spellEnd"/>
      <w:r w:rsidRPr="008A5E49">
        <w:rPr>
          <w:rFonts w:ascii="Arial" w:eastAsia="Times New Roman" w:hAnsi="Arial" w:cs="Arial"/>
          <w:i/>
          <w:iCs/>
          <w:color w:val="000000"/>
          <w:sz w:val="20"/>
          <w:szCs w:val="20"/>
          <w:lang w:val="en"/>
        </w:rPr>
        <w:t>,</w:t>
      </w:r>
      <w:r w:rsidRPr="008A5E49">
        <w:rPr>
          <w:rFonts w:ascii="Arial" w:eastAsia="Times New Roman" w:hAnsi="Arial" w:cs="Arial"/>
          <w:color w:val="000000"/>
          <w:sz w:val="20"/>
          <w:szCs w:val="20"/>
          <w:lang w:val="en"/>
        </w:rPr>
        <w:t xml:space="preserve"> 655 F.2d 221, 210 USPQ 790 (CCPA 1981); see also </w:t>
      </w:r>
      <w:proofErr w:type="spellStart"/>
      <w:r w:rsidRPr="008A5E49">
        <w:rPr>
          <w:rFonts w:ascii="Arial" w:eastAsia="Times New Roman" w:hAnsi="Arial" w:cs="Arial"/>
          <w:i/>
          <w:iCs/>
          <w:color w:val="000000"/>
          <w:sz w:val="20"/>
          <w:szCs w:val="20"/>
          <w:lang w:val="en"/>
        </w:rPr>
        <w:t>Bruckelmyer</w:t>
      </w:r>
      <w:proofErr w:type="spellEnd"/>
      <w:r w:rsidRPr="008A5E49">
        <w:rPr>
          <w:rFonts w:ascii="Arial" w:eastAsia="Times New Roman" w:hAnsi="Arial" w:cs="Arial"/>
          <w:i/>
          <w:iCs/>
          <w:color w:val="000000"/>
          <w:sz w:val="20"/>
          <w:szCs w:val="20"/>
          <w:lang w:val="en"/>
        </w:rPr>
        <w:t xml:space="preserve"> v. Ground Heaters, Inc.,</w:t>
      </w:r>
      <w:r w:rsidRPr="008A5E49">
        <w:rPr>
          <w:rFonts w:ascii="Arial" w:eastAsia="Times New Roman" w:hAnsi="Arial" w:cs="Arial"/>
          <w:color w:val="000000"/>
          <w:sz w:val="20"/>
          <w:szCs w:val="20"/>
          <w:lang w:val="en"/>
        </w:rPr>
        <w:t xml:space="preserve"> 445 F.3d 1374, 78 USPQ2d 1684 (Fed. Cir. 2006)); a document electronically posted on the Internet (see, e.g., </w:t>
      </w:r>
      <w:r w:rsidRPr="008A5E49">
        <w:rPr>
          <w:rFonts w:ascii="Arial" w:eastAsia="Times New Roman" w:hAnsi="Arial" w:cs="Arial"/>
          <w:i/>
          <w:iCs/>
          <w:color w:val="000000"/>
          <w:sz w:val="20"/>
          <w:szCs w:val="20"/>
          <w:lang w:val="en"/>
        </w:rPr>
        <w:t>Voter Verified, Inc. v. Premier Election Solutions, Inc.,</w:t>
      </w:r>
      <w:r w:rsidRPr="008A5E49">
        <w:rPr>
          <w:rFonts w:ascii="Arial" w:eastAsia="Times New Roman" w:hAnsi="Arial" w:cs="Arial"/>
          <w:color w:val="000000"/>
          <w:sz w:val="20"/>
          <w:szCs w:val="20"/>
          <w:lang w:val="en"/>
        </w:rPr>
        <w:t xml:space="preserve"> 698 F.3d 1374, 104 USPQ2d 1553 (Fed. Cir. 2012), </w:t>
      </w:r>
      <w:r w:rsidRPr="008A5E49">
        <w:rPr>
          <w:rFonts w:ascii="Arial" w:eastAsia="Times New Roman" w:hAnsi="Arial" w:cs="Arial"/>
          <w:i/>
          <w:iCs/>
          <w:color w:val="000000"/>
          <w:sz w:val="20"/>
          <w:szCs w:val="20"/>
          <w:lang w:val="en"/>
        </w:rPr>
        <w:t>In re Lister,</w:t>
      </w:r>
      <w:r w:rsidRPr="008A5E49">
        <w:rPr>
          <w:rFonts w:ascii="Arial" w:eastAsia="Times New Roman" w:hAnsi="Arial" w:cs="Arial"/>
          <w:color w:val="000000"/>
          <w:sz w:val="20"/>
          <w:szCs w:val="20"/>
          <w:lang w:val="en"/>
        </w:rPr>
        <w:t xml:space="preserve"> 583 F.3d 1307, 92 USPQ2d 1225 (Fed. Cir. 2009), </w:t>
      </w:r>
      <w:r w:rsidRPr="008A5E49">
        <w:rPr>
          <w:rFonts w:ascii="Arial" w:eastAsia="Times New Roman" w:hAnsi="Arial" w:cs="Arial"/>
          <w:i/>
          <w:iCs/>
          <w:color w:val="000000"/>
          <w:sz w:val="20"/>
          <w:szCs w:val="20"/>
          <w:lang w:val="en"/>
        </w:rPr>
        <w:t>SRI Int'l, Inc. v. Internet Sec. Sys., Inc.,</w:t>
      </w:r>
      <w:r w:rsidRPr="008A5E49">
        <w:rPr>
          <w:rFonts w:ascii="Arial" w:eastAsia="Times New Roman" w:hAnsi="Arial" w:cs="Arial"/>
          <w:color w:val="000000"/>
          <w:sz w:val="20"/>
          <w:szCs w:val="20"/>
          <w:lang w:val="en"/>
        </w:rPr>
        <w:t xml:space="preserve"> 511 F.3d 1186, 85 USPQ2d 1489 (Fed. Cir. 2008), and </w:t>
      </w:r>
      <w:hyperlink r:id="rId55" w:anchor="d0e202564" w:history="1">
        <w:r w:rsidRPr="008A5E49">
          <w:rPr>
            <w:rFonts w:ascii="Arial" w:eastAsia="Times New Roman" w:hAnsi="Arial" w:cs="Arial"/>
            <w:b/>
            <w:bCs/>
            <w:color w:val="0000FF"/>
            <w:sz w:val="20"/>
            <w:szCs w:val="20"/>
            <w:u w:val="single"/>
            <w:lang w:val="en"/>
          </w:rPr>
          <w:t>MPEP § 2128</w:t>
        </w:r>
      </w:hyperlink>
      <w:r w:rsidRPr="008A5E49">
        <w:rPr>
          <w:rFonts w:ascii="Arial" w:eastAsia="Times New Roman" w:hAnsi="Arial" w:cs="Arial"/>
          <w:color w:val="000000"/>
          <w:sz w:val="20"/>
          <w:szCs w:val="20"/>
          <w:lang w:val="en"/>
        </w:rPr>
        <w:t xml:space="preserve">); or a commercial transaction that does not constitute a sale under the Uniform Commercial Code (see, e.g., </w:t>
      </w:r>
      <w:r w:rsidRPr="008A5E49">
        <w:rPr>
          <w:rFonts w:ascii="Arial" w:eastAsia="Times New Roman" w:hAnsi="Arial" w:cs="Arial"/>
          <w:i/>
          <w:iCs/>
          <w:color w:val="000000"/>
          <w:sz w:val="20"/>
          <w:szCs w:val="20"/>
          <w:lang w:val="en"/>
        </w:rPr>
        <w:t>Group One, Ltd. v. Hallmark Cards, Inc.,</w:t>
      </w:r>
      <w:r w:rsidRPr="008A5E49">
        <w:rPr>
          <w:rFonts w:ascii="Arial" w:eastAsia="Times New Roman" w:hAnsi="Arial" w:cs="Arial"/>
          <w:color w:val="000000"/>
          <w:sz w:val="20"/>
          <w:szCs w:val="20"/>
          <w:lang w:val="en"/>
        </w:rPr>
        <w:t xml:space="preserve"> 254 F.3d 1041, 59 USPQ2d 1121 (Fed. Cir. 2001) and </w:t>
      </w:r>
      <w:hyperlink r:id="rId56" w:anchor="d0e204712" w:history="1">
        <w:r w:rsidRPr="008A5E49">
          <w:rPr>
            <w:rFonts w:ascii="Arial" w:eastAsia="Times New Roman" w:hAnsi="Arial" w:cs="Arial"/>
            <w:b/>
            <w:bCs/>
            <w:color w:val="0000FF"/>
            <w:sz w:val="20"/>
            <w:szCs w:val="20"/>
            <w:u w:val="single"/>
            <w:lang w:val="en"/>
          </w:rPr>
          <w:t xml:space="preserve">MPEP § </w:t>
        </w:r>
        <w:r w:rsidRPr="008A5E49">
          <w:rPr>
            <w:rFonts w:ascii="Arial" w:eastAsia="Times New Roman" w:hAnsi="Arial" w:cs="Arial"/>
            <w:b/>
            <w:bCs/>
            <w:color w:val="0000FF"/>
            <w:sz w:val="20"/>
            <w:szCs w:val="20"/>
            <w:u w:val="single"/>
            <w:lang w:val="en"/>
          </w:rPr>
          <w:lastRenderedPageBreak/>
          <w:t>2133.03(e)(1)</w:t>
        </w:r>
      </w:hyperlink>
      <w:r w:rsidRPr="008A5E49">
        <w:rPr>
          <w:rFonts w:ascii="Arial" w:eastAsia="Times New Roman" w:hAnsi="Arial" w:cs="Arial"/>
          <w:color w:val="000000"/>
          <w:sz w:val="20"/>
          <w:szCs w:val="20"/>
          <w:lang w:val="en"/>
        </w:rPr>
        <w:t xml:space="preserve">). Even if a document or other disclosure is not a printed publication, or a transaction is not a sale, either may be prior art under the “otherwise available to the public” provision of </w:t>
      </w:r>
      <w:hyperlink r:id="rId57"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provided that the claimed invention is made sufficiently available to the public. </w:t>
      </w:r>
    </w:p>
    <w:p w:rsidR="008A5E49" w:rsidRPr="008A5E49" w:rsidRDefault="008A5E49" w:rsidP="008A5E49">
      <w:pPr>
        <w:spacing w:before="240" w:after="240" w:line="240" w:lineRule="auto"/>
        <w:outlineLvl w:val="0"/>
        <w:rPr>
          <w:rFonts w:ascii="Arial" w:eastAsia="Times New Roman" w:hAnsi="Arial" w:cs="Arial"/>
          <w:b/>
          <w:bCs/>
          <w:color w:val="000000"/>
          <w:kern w:val="36"/>
          <w:sz w:val="28"/>
          <w:szCs w:val="28"/>
          <w:lang w:val="en"/>
        </w:rPr>
      </w:pPr>
      <w:r w:rsidRPr="008A5E49">
        <w:rPr>
          <w:rFonts w:ascii="Arial" w:eastAsia="Times New Roman" w:hAnsi="Arial" w:cs="Arial"/>
          <w:b/>
          <w:bCs/>
          <w:color w:val="000000"/>
          <w:kern w:val="36"/>
          <w:sz w:val="28"/>
          <w:szCs w:val="28"/>
          <w:lang w:val="en"/>
        </w:rPr>
        <w:t>2152.02(f)   No Requirement of "By Others" [R-11.2013]</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i/>
          <w:iCs/>
          <w:color w:val="000000"/>
          <w:sz w:val="20"/>
          <w:szCs w:val="20"/>
          <w:lang w:val="en"/>
        </w:rPr>
        <w:t xml:space="preserve">[Editor Note: This MPEP section is </w:t>
      </w:r>
      <w:r w:rsidRPr="008A5E49">
        <w:rPr>
          <w:rFonts w:ascii="Arial" w:eastAsia="Times New Roman" w:hAnsi="Arial" w:cs="Arial"/>
          <w:b/>
          <w:bCs/>
          <w:i/>
          <w:iCs/>
          <w:color w:val="000000"/>
          <w:sz w:val="20"/>
          <w:szCs w:val="20"/>
          <w:lang w:val="en"/>
        </w:rPr>
        <w:t>only applicable</w:t>
      </w:r>
      <w:r w:rsidRPr="008A5E49">
        <w:rPr>
          <w:rFonts w:ascii="Arial" w:eastAsia="Times New Roman" w:hAnsi="Arial" w:cs="Arial"/>
          <w:i/>
          <w:iCs/>
          <w:color w:val="000000"/>
          <w:sz w:val="20"/>
          <w:szCs w:val="20"/>
          <w:lang w:val="en"/>
        </w:rPr>
        <w:t xml:space="preserve"> to applications subject to examination under the first inventor to file (FITF) provisions of the AIA as set forth in </w:t>
      </w:r>
      <w:hyperlink r:id="rId58" w:anchor="al_d1d917_1bef1_2b" w:history="1">
        <w:r w:rsidRPr="008A5E49">
          <w:rPr>
            <w:rFonts w:ascii="Arial" w:eastAsia="Times New Roman" w:hAnsi="Arial" w:cs="Arial"/>
            <w:b/>
            <w:bCs/>
            <w:i/>
            <w:iCs/>
            <w:color w:val="0000FF"/>
            <w:sz w:val="20"/>
            <w:szCs w:val="20"/>
            <w:u w:val="single"/>
            <w:lang w:val="en"/>
          </w:rPr>
          <w:t>35 U.S.C. 100 (note)</w:t>
        </w:r>
      </w:hyperlink>
      <w:r w:rsidRPr="008A5E49">
        <w:rPr>
          <w:rFonts w:ascii="Arial" w:eastAsia="Times New Roman" w:hAnsi="Arial" w:cs="Arial"/>
          <w:i/>
          <w:iCs/>
          <w:color w:val="000000"/>
          <w:sz w:val="20"/>
          <w:szCs w:val="20"/>
          <w:lang w:val="en"/>
        </w:rPr>
        <w:t xml:space="preserve">. See </w:t>
      </w:r>
      <w:hyperlink r:id="rId59" w:anchor="ch2100_d20034_1dc34_1dd" w:history="1">
        <w:r w:rsidRPr="008A5E49">
          <w:rPr>
            <w:rFonts w:ascii="Arial" w:eastAsia="Times New Roman" w:hAnsi="Arial" w:cs="Arial"/>
            <w:b/>
            <w:bCs/>
            <w:i/>
            <w:iCs/>
            <w:color w:val="0000FF"/>
            <w:sz w:val="20"/>
            <w:szCs w:val="20"/>
            <w:u w:val="single"/>
            <w:lang w:val="en"/>
          </w:rPr>
          <w:t>MPEP § 2159</w:t>
        </w:r>
      </w:hyperlink>
      <w:r w:rsidRPr="008A5E49">
        <w:rPr>
          <w:rFonts w:ascii="Arial" w:eastAsia="Times New Roman" w:hAnsi="Arial" w:cs="Arial"/>
          <w:i/>
          <w:iCs/>
          <w:color w:val="000000"/>
          <w:sz w:val="20"/>
          <w:szCs w:val="20"/>
          <w:lang w:val="en"/>
        </w:rPr>
        <w:t xml:space="preserve"> et seq. to determine whether an application is subject to examination under the FITF provisions, and </w:t>
      </w:r>
      <w:hyperlink r:id="rId60" w:anchor="d0e202959" w:history="1">
        <w:r w:rsidRPr="008A5E49">
          <w:rPr>
            <w:rFonts w:ascii="Arial" w:eastAsia="Times New Roman" w:hAnsi="Arial" w:cs="Arial"/>
            <w:b/>
            <w:bCs/>
            <w:i/>
            <w:iCs/>
            <w:color w:val="0000FF"/>
            <w:sz w:val="20"/>
            <w:szCs w:val="20"/>
            <w:u w:val="single"/>
            <w:lang w:val="en"/>
          </w:rPr>
          <w:t>MPEP § 2131</w:t>
        </w:r>
      </w:hyperlink>
      <w:r w:rsidRPr="008A5E49">
        <w:rPr>
          <w:rFonts w:ascii="Arial" w:eastAsia="Times New Roman" w:hAnsi="Arial" w:cs="Arial"/>
          <w:i/>
          <w:iCs/>
          <w:color w:val="000000"/>
          <w:sz w:val="20"/>
          <w:szCs w:val="20"/>
          <w:lang w:val="en"/>
        </w:rPr>
        <w:t>-</w:t>
      </w:r>
      <w:hyperlink r:id="rId61" w:anchor="d0e207005" w:history="1">
        <w:r w:rsidRPr="008A5E49">
          <w:rPr>
            <w:rFonts w:ascii="Arial" w:eastAsia="Times New Roman" w:hAnsi="Arial" w:cs="Arial"/>
            <w:b/>
            <w:bCs/>
            <w:i/>
            <w:iCs/>
            <w:color w:val="0000FF"/>
            <w:sz w:val="20"/>
            <w:szCs w:val="20"/>
            <w:u w:val="single"/>
            <w:lang w:val="en"/>
          </w:rPr>
          <w:t>MPEP § 2138</w:t>
        </w:r>
      </w:hyperlink>
      <w:r w:rsidRPr="008A5E49">
        <w:rPr>
          <w:rFonts w:ascii="Arial" w:eastAsia="Times New Roman" w:hAnsi="Arial" w:cs="Arial"/>
          <w:i/>
          <w:iCs/>
          <w:color w:val="000000"/>
          <w:sz w:val="20"/>
          <w:szCs w:val="20"/>
          <w:lang w:val="en"/>
        </w:rPr>
        <w:t xml:space="preserve"> for examination of applications subject to </w:t>
      </w:r>
      <w:hyperlink r:id="rId62" w:anchor="d0e302383" w:history="1">
        <w:r w:rsidRPr="008A5E49">
          <w:rPr>
            <w:rFonts w:ascii="Arial" w:eastAsia="Times New Roman" w:hAnsi="Arial" w:cs="Arial"/>
            <w:b/>
            <w:bCs/>
            <w:i/>
            <w:iCs/>
            <w:color w:val="0000FF"/>
            <w:sz w:val="20"/>
            <w:szCs w:val="20"/>
            <w:u w:val="single"/>
            <w:lang w:val="en"/>
          </w:rPr>
          <w:t>pre-AIA 35 U.S.C. 102</w:t>
        </w:r>
      </w:hyperlink>
      <w:r w:rsidRPr="008A5E49">
        <w:rPr>
          <w:rFonts w:ascii="Arial" w:eastAsia="Times New Roman" w:hAnsi="Arial" w:cs="Arial"/>
          <w:i/>
          <w:iCs/>
          <w:color w:val="000000"/>
          <w:sz w:val="20"/>
          <w:szCs w:val="20"/>
          <w:lang w:val="en"/>
        </w:rPr>
        <w:t xml:space="preserve">.] </w:t>
      </w:r>
    </w:p>
    <w:p w:rsidR="008A5E49" w:rsidRPr="008A5E49" w:rsidRDefault="008A5E49" w:rsidP="008A5E49">
      <w:pPr>
        <w:spacing w:before="100" w:beforeAutospacing="1" w:after="100" w:afterAutospacing="1" w:line="240" w:lineRule="auto"/>
        <w:rPr>
          <w:rFonts w:ascii="Arial" w:eastAsia="Times New Roman" w:hAnsi="Arial" w:cs="Arial"/>
          <w:color w:val="000000"/>
          <w:sz w:val="20"/>
          <w:szCs w:val="20"/>
          <w:lang w:val="en"/>
        </w:rPr>
      </w:pPr>
      <w:r w:rsidRPr="008A5E49">
        <w:rPr>
          <w:rFonts w:ascii="Arial" w:eastAsia="Times New Roman" w:hAnsi="Arial" w:cs="Arial"/>
          <w:color w:val="000000"/>
          <w:sz w:val="20"/>
          <w:szCs w:val="20"/>
          <w:lang w:val="en"/>
        </w:rPr>
        <w:t xml:space="preserve">A key difference between </w:t>
      </w:r>
      <w:hyperlink r:id="rId63" w:anchor="d0e302391" w:history="1">
        <w:r w:rsidRPr="008A5E49">
          <w:rPr>
            <w:rFonts w:ascii="Arial" w:eastAsia="Times New Roman" w:hAnsi="Arial" w:cs="Arial"/>
            <w:b/>
            <w:bCs/>
            <w:color w:val="0000FF"/>
            <w:sz w:val="20"/>
            <w:szCs w:val="20"/>
            <w:u w:val="single"/>
            <w:lang w:val="en"/>
          </w:rPr>
          <w:t>pre-AIA 35 U.S.C. 102(a)</w:t>
        </w:r>
      </w:hyperlink>
      <w:r w:rsidRPr="008A5E49">
        <w:rPr>
          <w:rFonts w:ascii="Arial" w:eastAsia="Times New Roman" w:hAnsi="Arial" w:cs="Arial"/>
          <w:color w:val="000000"/>
          <w:sz w:val="20"/>
          <w:szCs w:val="20"/>
          <w:lang w:val="en"/>
        </w:rPr>
        <w:t xml:space="preserve"> and </w:t>
      </w:r>
      <w:hyperlink r:id="rId64"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is the requirement in </w:t>
      </w:r>
      <w:hyperlink r:id="rId65" w:anchor="d0e302391" w:history="1">
        <w:r w:rsidRPr="008A5E49">
          <w:rPr>
            <w:rFonts w:ascii="Arial" w:eastAsia="Times New Roman" w:hAnsi="Arial" w:cs="Arial"/>
            <w:b/>
            <w:bCs/>
            <w:color w:val="0000FF"/>
            <w:sz w:val="20"/>
            <w:szCs w:val="20"/>
            <w:u w:val="single"/>
            <w:lang w:val="en"/>
          </w:rPr>
          <w:t>pre-AIA 35 U.S.C. 102(a)</w:t>
        </w:r>
      </w:hyperlink>
      <w:r w:rsidRPr="008A5E49">
        <w:rPr>
          <w:rFonts w:ascii="Arial" w:eastAsia="Times New Roman" w:hAnsi="Arial" w:cs="Arial"/>
          <w:color w:val="000000"/>
          <w:sz w:val="20"/>
          <w:szCs w:val="20"/>
          <w:lang w:val="en"/>
        </w:rPr>
        <w:t xml:space="preserve"> that the prior art relied on was “by others.” Under </w:t>
      </w:r>
      <w:hyperlink r:id="rId66"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there is no requirement that the prior art relied upon be by others. Thus, any prior art which falls under </w:t>
      </w:r>
      <w:hyperlink r:id="rId67"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need not be by another to constitute potentially available prior art. However, disclosures of the subject matter made one year or less before the effective filing date of the claimed invention by the inventor or a joint inventor or another who obtained the subject matter directly or indirectly from the inventor or a joint inventor may fall within an exception under </w:t>
      </w:r>
      <w:hyperlink r:id="rId68" w:anchor="al_d1d85b_11e7d_172" w:history="1">
        <w:r w:rsidRPr="008A5E49">
          <w:rPr>
            <w:rFonts w:ascii="Arial" w:eastAsia="Times New Roman" w:hAnsi="Arial" w:cs="Arial"/>
            <w:b/>
            <w:bCs/>
            <w:color w:val="0000FF"/>
            <w:sz w:val="20"/>
            <w:szCs w:val="20"/>
            <w:u w:val="single"/>
            <w:lang w:val="en"/>
          </w:rPr>
          <w:t>AIA 35 U.S.C. 102(b)(1)</w:t>
        </w:r>
      </w:hyperlink>
      <w:r w:rsidRPr="008A5E49">
        <w:rPr>
          <w:rFonts w:ascii="Arial" w:eastAsia="Times New Roman" w:hAnsi="Arial" w:cs="Arial"/>
          <w:color w:val="000000"/>
          <w:sz w:val="20"/>
          <w:szCs w:val="20"/>
          <w:lang w:val="en"/>
        </w:rPr>
        <w:t xml:space="preserve"> to </w:t>
      </w:r>
      <w:hyperlink r:id="rId69" w:anchor="al_d1d85b_11e72_307" w:history="1">
        <w:r w:rsidRPr="008A5E49">
          <w:rPr>
            <w:rFonts w:ascii="Arial" w:eastAsia="Times New Roman" w:hAnsi="Arial" w:cs="Arial"/>
            <w:b/>
            <w:bCs/>
            <w:color w:val="0000FF"/>
            <w:sz w:val="20"/>
            <w:szCs w:val="20"/>
            <w:u w:val="single"/>
            <w:lang w:val="en"/>
          </w:rPr>
          <w:t>AIA 35 U.S.C. 102(a)(1)</w:t>
        </w:r>
      </w:hyperlink>
      <w:r w:rsidRPr="008A5E49">
        <w:rPr>
          <w:rFonts w:ascii="Arial" w:eastAsia="Times New Roman" w:hAnsi="Arial" w:cs="Arial"/>
          <w:color w:val="000000"/>
          <w:sz w:val="20"/>
          <w:szCs w:val="20"/>
          <w:lang w:val="en"/>
        </w:rPr>
        <w:t xml:space="preserve">. </w:t>
      </w:r>
    </w:p>
    <w:p w:rsidR="008A5E49" w:rsidRDefault="008A5E49" w:rsidP="008A5E49"/>
    <w:sectPr w:rsidR="008A5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E49"/>
    <w:rsid w:val="00047C48"/>
    <w:rsid w:val="00327C31"/>
    <w:rsid w:val="00563093"/>
    <w:rsid w:val="006501C7"/>
    <w:rsid w:val="006542C9"/>
    <w:rsid w:val="00735EA1"/>
    <w:rsid w:val="008448FF"/>
    <w:rsid w:val="008A5E49"/>
    <w:rsid w:val="0091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D99A"/>
  <w15:chartTrackingRefBased/>
  <w15:docId w15:val="{AA2267CA-648C-43B5-8E48-0DD6EB53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8A5E49"/>
    <w:pPr>
      <w:spacing w:before="240" w:after="240" w:line="240" w:lineRule="auto"/>
      <w:outlineLvl w:val="0"/>
    </w:pPr>
    <w:rPr>
      <w:rFonts w:ascii="Times New Roman" w:eastAsia="Times New Roman" w:hAnsi="Times New Roman" w:cs="Times New Roman"/>
      <w:b/>
      <w:bCs/>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E49"/>
    <w:rPr>
      <w:rFonts w:ascii="Times New Roman" w:eastAsia="Times New Roman" w:hAnsi="Times New Roman" w:cs="Times New Roman"/>
      <w:b/>
      <w:bCs/>
      <w:kern w:val="36"/>
      <w:sz w:val="33"/>
      <w:szCs w:val="33"/>
    </w:rPr>
  </w:style>
  <w:style w:type="character" w:styleId="Hyperlink">
    <w:name w:val="Hyperlink"/>
    <w:basedOn w:val="DefaultParagraphFont"/>
    <w:uiPriority w:val="99"/>
    <w:semiHidden/>
    <w:unhideWhenUsed/>
    <w:rsid w:val="008A5E49"/>
    <w:rPr>
      <w:color w:val="0000FF"/>
      <w:u w:val="single"/>
    </w:rPr>
  </w:style>
  <w:style w:type="paragraph" w:styleId="NormalWeb">
    <w:name w:val="Normal (Web)"/>
    <w:basedOn w:val="Normal"/>
    <w:uiPriority w:val="99"/>
    <w:semiHidden/>
    <w:unhideWhenUsed/>
    <w:rsid w:val="008A5E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17435">
      <w:bodyDiv w:val="1"/>
      <w:marLeft w:val="0"/>
      <w:marRight w:val="0"/>
      <w:marTop w:val="0"/>
      <w:marBottom w:val="0"/>
      <w:divBdr>
        <w:top w:val="none" w:sz="0" w:space="0" w:color="auto"/>
        <w:left w:val="none" w:sz="0" w:space="0" w:color="auto"/>
        <w:bottom w:val="none" w:sz="0" w:space="0" w:color="auto"/>
        <w:right w:val="none" w:sz="0" w:space="0" w:color="auto"/>
      </w:divBdr>
      <w:divsChild>
        <w:div w:id="1130900817">
          <w:marLeft w:val="0"/>
          <w:marRight w:val="0"/>
          <w:marTop w:val="100"/>
          <w:marBottom w:val="100"/>
          <w:divBdr>
            <w:top w:val="none" w:sz="0" w:space="0" w:color="auto"/>
            <w:left w:val="none" w:sz="0" w:space="0" w:color="auto"/>
            <w:bottom w:val="none" w:sz="0" w:space="0" w:color="auto"/>
            <w:right w:val="none" w:sz="0" w:space="0" w:color="auto"/>
          </w:divBdr>
          <w:divsChild>
            <w:div w:id="130559054">
              <w:marLeft w:val="0"/>
              <w:marRight w:val="0"/>
              <w:marTop w:val="0"/>
              <w:marBottom w:val="0"/>
              <w:divBdr>
                <w:top w:val="none" w:sz="0" w:space="0" w:color="auto"/>
                <w:left w:val="none" w:sz="0" w:space="0" w:color="auto"/>
                <w:bottom w:val="none" w:sz="0" w:space="0" w:color="auto"/>
                <w:right w:val="none" w:sz="0" w:space="0" w:color="auto"/>
              </w:divBdr>
              <w:divsChild>
                <w:div w:id="837159159">
                  <w:marLeft w:val="0"/>
                  <w:marRight w:val="0"/>
                  <w:marTop w:val="0"/>
                  <w:marBottom w:val="0"/>
                  <w:divBdr>
                    <w:top w:val="none" w:sz="0" w:space="0" w:color="auto"/>
                    <w:left w:val="none" w:sz="0" w:space="0" w:color="auto"/>
                    <w:bottom w:val="none" w:sz="0" w:space="0" w:color="auto"/>
                    <w:right w:val="none" w:sz="0" w:space="0" w:color="auto"/>
                  </w:divBdr>
                  <w:divsChild>
                    <w:div w:id="112210772">
                      <w:marLeft w:val="0"/>
                      <w:marRight w:val="0"/>
                      <w:marTop w:val="0"/>
                      <w:marBottom w:val="0"/>
                      <w:divBdr>
                        <w:top w:val="none" w:sz="0" w:space="0" w:color="auto"/>
                        <w:left w:val="none" w:sz="0" w:space="0" w:color="auto"/>
                        <w:bottom w:val="none" w:sz="0" w:space="0" w:color="auto"/>
                        <w:right w:val="none" w:sz="0" w:space="0" w:color="auto"/>
                      </w:divBdr>
                      <w:divsChild>
                        <w:div w:id="1546408409">
                          <w:marLeft w:val="0"/>
                          <w:marRight w:val="0"/>
                          <w:marTop w:val="0"/>
                          <w:marBottom w:val="0"/>
                          <w:divBdr>
                            <w:top w:val="none" w:sz="0" w:space="0" w:color="auto"/>
                            <w:left w:val="none" w:sz="0" w:space="0" w:color="auto"/>
                            <w:bottom w:val="none" w:sz="0" w:space="0" w:color="auto"/>
                            <w:right w:val="none" w:sz="0" w:space="0" w:color="auto"/>
                          </w:divBdr>
                          <w:divsChild>
                            <w:div w:id="2033071517">
                              <w:marLeft w:val="0"/>
                              <w:marRight w:val="0"/>
                              <w:marTop w:val="0"/>
                              <w:marBottom w:val="0"/>
                              <w:divBdr>
                                <w:top w:val="none" w:sz="0" w:space="0" w:color="auto"/>
                                <w:left w:val="none" w:sz="0" w:space="0" w:color="auto"/>
                                <w:bottom w:val="none" w:sz="0" w:space="0" w:color="auto"/>
                                <w:right w:val="none" w:sz="0" w:space="0" w:color="auto"/>
                              </w:divBdr>
                              <w:divsChild>
                                <w:div w:id="341057922">
                                  <w:marLeft w:val="0"/>
                                  <w:marRight w:val="0"/>
                                  <w:marTop w:val="0"/>
                                  <w:marBottom w:val="0"/>
                                  <w:divBdr>
                                    <w:top w:val="none" w:sz="0" w:space="0" w:color="auto"/>
                                    <w:left w:val="none" w:sz="0" w:space="0" w:color="auto"/>
                                    <w:bottom w:val="none" w:sz="0" w:space="0" w:color="auto"/>
                                    <w:right w:val="none" w:sz="0" w:space="0" w:color="auto"/>
                                  </w:divBdr>
                                  <w:divsChild>
                                    <w:div w:id="2099061863">
                                      <w:marLeft w:val="0"/>
                                      <w:marRight w:val="0"/>
                                      <w:marTop w:val="0"/>
                                      <w:marBottom w:val="0"/>
                                      <w:divBdr>
                                        <w:top w:val="none" w:sz="0" w:space="0" w:color="auto"/>
                                        <w:left w:val="none" w:sz="0" w:space="0" w:color="auto"/>
                                        <w:bottom w:val="none" w:sz="0" w:space="0" w:color="auto"/>
                                        <w:right w:val="none" w:sz="0" w:space="0" w:color="auto"/>
                                      </w:divBdr>
                                      <w:divsChild>
                                        <w:div w:id="1049649495">
                                          <w:marLeft w:val="0"/>
                                          <w:marRight w:val="0"/>
                                          <w:marTop w:val="0"/>
                                          <w:marBottom w:val="0"/>
                                          <w:divBdr>
                                            <w:top w:val="none" w:sz="0" w:space="0" w:color="auto"/>
                                            <w:left w:val="none" w:sz="0" w:space="0" w:color="auto"/>
                                            <w:bottom w:val="none" w:sz="0" w:space="0" w:color="auto"/>
                                            <w:right w:val="none" w:sz="0" w:space="0" w:color="auto"/>
                                          </w:divBdr>
                                          <w:divsChild>
                                            <w:div w:id="1147866630">
                                              <w:marLeft w:val="0"/>
                                              <w:marRight w:val="0"/>
                                              <w:marTop w:val="0"/>
                                              <w:marBottom w:val="0"/>
                                              <w:divBdr>
                                                <w:top w:val="none" w:sz="0" w:space="0" w:color="auto"/>
                                                <w:left w:val="none" w:sz="0" w:space="0" w:color="auto"/>
                                                <w:bottom w:val="none" w:sz="0" w:space="0" w:color="auto"/>
                                                <w:right w:val="none" w:sz="0" w:space="0" w:color="auto"/>
                                              </w:divBdr>
                                            </w:div>
                                            <w:div w:id="121778730">
                                              <w:marLeft w:val="0"/>
                                              <w:marRight w:val="0"/>
                                              <w:marTop w:val="0"/>
                                              <w:marBottom w:val="0"/>
                                              <w:divBdr>
                                                <w:top w:val="none" w:sz="0" w:space="0" w:color="auto"/>
                                                <w:left w:val="none" w:sz="0" w:space="0" w:color="auto"/>
                                                <w:bottom w:val="none" w:sz="0" w:space="0" w:color="auto"/>
                                                <w:right w:val="none" w:sz="0" w:space="0" w:color="auto"/>
                                              </w:divBdr>
                                            </w:div>
                                            <w:div w:id="130027052">
                                              <w:marLeft w:val="0"/>
                                              <w:marRight w:val="0"/>
                                              <w:marTop w:val="0"/>
                                              <w:marBottom w:val="0"/>
                                              <w:divBdr>
                                                <w:top w:val="none" w:sz="0" w:space="0" w:color="auto"/>
                                                <w:left w:val="none" w:sz="0" w:space="0" w:color="auto"/>
                                                <w:bottom w:val="none" w:sz="0" w:space="0" w:color="auto"/>
                                                <w:right w:val="none" w:sz="0" w:space="0" w:color="auto"/>
                                              </w:divBdr>
                                            </w:div>
                                            <w:div w:id="11269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pto.gov/web/offices/pac/mpep/mpep-9015-appx-l.html" TargetMode="External"/><Relationship Id="rId18" Type="http://schemas.openxmlformats.org/officeDocument/2006/relationships/hyperlink" Target="https://www.uspto.gov/web/offices/pac/mpep/mpep-9015-appx-l.html" TargetMode="External"/><Relationship Id="rId26" Type="http://schemas.openxmlformats.org/officeDocument/2006/relationships/hyperlink" Target="https://www.uspto.gov/web/offices/pac/mpep/mpep-9015-appx-l.html" TargetMode="External"/><Relationship Id="rId39" Type="http://schemas.openxmlformats.org/officeDocument/2006/relationships/hyperlink" Target="https://www.uspto.gov/web/offices/pac/mpep/mpep-9015-appx-l.html" TargetMode="External"/><Relationship Id="rId21" Type="http://schemas.openxmlformats.org/officeDocument/2006/relationships/hyperlink" Target="https://www.uspto.gov/web/offices/pac/mpep/s2132.html" TargetMode="External"/><Relationship Id="rId34" Type="http://schemas.openxmlformats.org/officeDocument/2006/relationships/hyperlink" Target="https://www.uspto.gov/web/offices/pac/mpep/mpep-9015-appx-l.html" TargetMode="External"/><Relationship Id="rId42" Type="http://schemas.openxmlformats.org/officeDocument/2006/relationships/hyperlink" Target="https://www.uspto.gov/web/offices/pac/mpep/mpep-9015-appx-l.html" TargetMode="External"/><Relationship Id="rId47" Type="http://schemas.openxmlformats.org/officeDocument/2006/relationships/hyperlink" Target="https://www.uspto.gov/web/offices/pac/mpep/s2131.html" TargetMode="External"/><Relationship Id="rId50" Type="http://schemas.openxmlformats.org/officeDocument/2006/relationships/hyperlink" Target="https://www.uspto.gov/web/offices/pac/mpep/mpep-9015-appx-l.html" TargetMode="External"/><Relationship Id="rId55" Type="http://schemas.openxmlformats.org/officeDocument/2006/relationships/hyperlink" Target="https://www.uspto.gov/web/offices/pac/mpep/s2128.html" TargetMode="External"/><Relationship Id="rId63" Type="http://schemas.openxmlformats.org/officeDocument/2006/relationships/hyperlink" Target="https://www.uspto.gov/web/offices/pac/mpep/mpep-9015-appx-l.html" TargetMode="External"/><Relationship Id="rId68" Type="http://schemas.openxmlformats.org/officeDocument/2006/relationships/hyperlink" Target="https://www.uspto.gov/web/offices/pac/mpep/mpep-9015-appx-l.html" TargetMode="External"/><Relationship Id="rId7" Type="http://schemas.openxmlformats.org/officeDocument/2006/relationships/hyperlink" Target="https://www.uspto.gov/web/offices/pac/mpep/mpep-9015-appx-l.html"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uspto.gov/web/offices/pac/mpep/mpep-9015-appx-l.html" TargetMode="External"/><Relationship Id="rId29" Type="http://schemas.openxmlformats.org/officeDocument/2006/relationships/hyperlink" Target="https://www.uspto.gov/web/offices/pac/mpep/s2133.html" TargetMode="External"/><Relationship Id="rId1" Type="http://schemas.openxmlformats.org/officeDocument/2006/relationships/styles" Target="styles.xml"/><Relationship Id="rId6" Type="http://schemas.openxmlformats.org/officeDocument/2006/relationships/hyperlink" Target="https://www.uspto.gov/web/offices/pac/mpep/mpep-9015-appx-l.html" TargetMode="External"/><Relationship Id="rId11" Type="http://schemas.openxmlformats.org/officeDocument/2006/relationships/hyperlink" Target="https://www.uspto.gov/web/offices/pac/mpep/s2133.html" TargetMode="External"/><Relationship Id="rId24" Type="http://schemas.openxmlformats.org/officeDocument/2006/relationships/hyperlink" Target="https://www.uspto.gov/web/offices/pac/mpep/mpep-9015-appx-l.html" TargetMode="External"/><Relationship Id="rId32" Type="http://schemas.openxmlformats.org/officeDocument/2006/relationships/hyperlink" Target="https://www.uspto.gov/web/offices/pac/mpep/mpep-9015-appx-l.html" TargetMode="External"/><Relationship Id="rId37" Type="http://schemas.openxmlformats.org/officeDocument/2006/relationships/hyperlink" Target="https://www.uspto.gov/web/offices/pac/mpep/s2133.html" TargetMode="External"/><Relationship Id="rId40" Type="http://schemas.openxmlformats.org/officeDocument/2006/relationships/hyperlink" Target="https://www.uspto.gov/web/offices/pac/mpep/s2133.html" TargetMode="External"/><Relationship Id="rId45" Type="http://schemas.openxmlformats.org/officeDocument/2006/relationships/hyperlink" Target="https://www.uspto.gov/web/offices/pac/mpep/mpep-9015-appx-l.html" TargetMode="External"/><Relationship Id="rId53" Type="http://schemas.openxmlformats.org/officeDocument/2006/relationships/hyperlink" Target="https://www.uspto.gov/web/offices/pac/mpep/s2128.html" TargetMode="External"/><Relationship Id="rId58" Type="http://schemas.openxmlformats.org/officeDocument/2006/relationships/hyperlink" Target="https://www.uspto.gov/web/offices/pac/mpep/mpep-9015-appx-l.html" TargetMode="External"/><Relationship Id="rId66" Type="http://schemas.openxmlformats.org/officeDocument/2006/relationships/hyperlink" Target="https://www.uspto.gov/web/offices/pac/mpep/mpep-9015-appx-l.html" TargetMode="External"/><Relationship Id="rId5" Type="http://schemas.openxmlformats.org/officeDocument/2006/relationships/hyperlink" Target="https://www.uspto.gov/web/offices/pac/mpep/s2133.html" TargetMode="External"/><Relationship Id="rId15" Type="http://schemas.openxmlformats.org/officeDocument/2006/relationships/hyperlink" Target="https://www.uspto.gov/web/offices/pac/mpep/s2133.html" TargetMode="External"/><Relationship Id="rId23" Type="http://schemas.openxmlformats.org/officeDocument/2006/relationships/hyperlink" Target="https://www.uspto.gov/web/offices/pac/mpep/mpep-9015-appx-l.html" TargetMode="External"/><Relationship Id="rId28" Type="http://schemas.openxmlformats.org/officeDocument/2006/relationships/hyperlink" Target="https://www.uspto.gov/web/offices/pac/mpep/s2159.html" TargetMode="External"/><Relationship Id="rId36" Type="http://schemas.openxmlformats.org/officeDocument/2006/relationships/hyperlink" Target="https://www.uspto.gov/web/offices/pac/mpep/mpep-9015-appx-l.html" TargetMode="External"/><Relationship Id="rId49" Type="http://schemas.openxmlformats.org/officeDocument/2006/relationships/hyperlink" Target="https://www.uspto.gov/web/offices/pac/mpep/mpep-9015-appx-l.html" TargetMode="External"/><Relationship Id="rId57" Type="http://schemas.openxmlformats.org/officeDocument/2006/relationships/hyperlink" Target="https://www.uspto.gov/web/offices/pac/mpep/mpep-9015-appx-l.html" TargetMode="External"/><Relationship Id="rId61" Type="http://schemas.openxmlformats.org/officeDocument/2006/relationships/hyperlink" Target="https://www.uspto.gov/web/offices/pac/mpep/s2138.html" TargetMode="External"/><Relationship Id="rId10" Type="http://schemas.openxmlformats.org/officeDocument/2006/relationships/hyperlink" Target="https://www.uspto.gov/web/offices/pac/mpep/mpep-9015-appx-l.html" TargetMode="External"/><Relationship Id="rId19" Type="http://schemas.openxmlformats.org/officeDocument/2006/relationships/hyperlink" Target="https://www.uspto.gov/web/offices/pac/mpep/s2133.html" TargetMode="External"/><Relationship Id="rId31" Type="http://schemas.openxmlformats.org/officeDocument/2006/relationships/hyperlink" Target="https://www.uspto.gov/web/offices/pac/mpep/mpep-9015-appx-l.html" TargetMode="External"/><Relationship Id="rId44" Type="http://schemas.openxmlformats.org/officeDocument/2006/relationships/hyperlink" Target="https://www.uspto.gov/web/offices/pac/mpep/mpep-9015-appx-l.html" TargetMode="External"/><Relationship Id="rId52" Type="http://schemas.openxmlformats.org/officeDocument/2006/relationships/hyperlink" Target="https://www.uspto.gov/web/offices/pac/mpep/mpep-9015-appx-l.html" TargetMode="External"/><Relationship Id="rId60" Type="http://schemas.openxmlformats.org/officeDocument/2006/relationships/hyperlink" Target="https://www.uspto.gov/web/offices/pac/mpep/s2131.html" TargetMode="External"/><Relationship Id="rId65" Type="http://schemas.openxmlformats.org/officeDocument/2006/relationships/hyperlink" Target="https://www.uspto.gov/web/offices/pac/mpep/mpep-9015-appx-l.html" TargetMode="External"/><Relationship Id="rId4" Type="http://schemas.openxmlformats.org/officeDocument/2006/relationships/hyperlink" Target="https://www.uspto.gov/web/offices/pac/mpep/mpep-9015-appx-l.html" TargetMode="External"/><Relationship Id="rId9" Type="http://schemas.openxmlformats.org/officeDocument/2006/relationships/hyperlink" Target="https://www.uspto.gov/web/offices/pac/mpep/s2133.html" TargetMode="External"/><Relationship Id="rId14" Type="http://schemas.openxmlformats.org/officeDocument/2006/relationships/hyperlink" Target="https://www.uspto.gov/web/offices/pac/mpep/mpep-9015-appx-l.html" TargetMode="External"/><Relationship Id="rId22" Type="http://schemas.openxmlformats.org/officeDocument/2006/relationships/hyperlink" Target="https://www.uspto.gov/web/offices/pac/mpep/mpep-9015-appx-l.html" TargetMode="External"/><Relationship Id="rId27" Type="http://schemas.openxmlformats.org/officeDocument/2006/relationships/hyperlink" Target="https://www.uspto.gov/web/offices/pac/mpep/mpep-9015-appx-l.html" TargetMode="External"/><Relationship Id="rId30" Type="http://schemas.openxmlformats.org/officeDocument/2006/relationships/hyperlink" Target="https://www.uspto.gov/web/offices/pac/mpep/mpep-9015-appx-l.html" TargetMode="External"/><Relationship Id="rId35" Type="http://schemas.openxmlformats.org/officeDocument/2006/relationships/hyperlink" Target="https://www.uspto.gov/web/offices/pac/mpep/s2133.html" TargetMode="External"/><Relationship Id="rId43" Type="http://schemas.openxmlformats.org/officeDocument/2006/relationships/hyperlink" Target="https://www.uspto.gov/web/offices/pac/mpep/mpep-9015-appx-l.html" TargetMode="External"/><Relationship Id="rId48" Type="http://schemas.openxmlformats.org/officeDocument/2006/relationships/hyperlink" Target="https://www.uspto.gov/web/offices/pac/mpep/s2138.html" TargetMode="External"/><Relationship Id="rId56" Type="http://schemas.openxmlformats.org/officeDocument/2006/relationships/hyperlink" Target="https://www.uspto.gov/web/offices/pac/mpep/s2133.html" TargetMode="External"/><Relationship Id="rId64" Type="http://schemas.openxmlformats.org/officeDocument/2006/relationships/hyperlink" Target="https://www.uspto.gov/web/offices/pac/mpep/mpep-9015-appx-l.html" TargetMode="External"/><Relationship Id="rId69" Type="http://schemas.openxmlformats.org/officeDocument/2006/relationships/hyperlink" Target="https://www.uspto.gov/web/offices/pac/mpep/mpep-9015-appx-l.html" TargetMode="External"/><Relationship Id="rId8" Type="http://schemas.openxmlformats.org/officeDocument/2006/relationships/hyperlink" Target="https://www.uspto.gov/web/offices/pac/mpep/mpep-9015-appx-l.html" TargetMode="External"/><Relationship Id="rId51" Type="http://schemas.openxmlformats.org/officeDocument/2006/relationships/hyperlink" Target="https://www.uspto.gov/web/offices/pac/mpep/mpep-9015-appx-l.html" TargetMode="External"/><Relationship Id="rId3" Type="http://schemas.openxmlformats.org/officeDocument/2006/relationships/webSettings" Target="webSettings.xml"/><Relationship Id="rId12" Type="http://schemas.openxmlformats.org/officeDocument/2006/relationships/hyperlink" Target="https://www.uspto.gov/web/offices/pac/mpep/mpep-9015-appx-l.html" TargetMode="External"/><Relationship Id="rId17" Type="http://schemas.openxmlformats.org/officeDocument/2006/relationships/hyperlink" Target="https://www.uspto.gov/web/offices/pac/mpep/s2133.html" TargetMode="External"/><Relationship Id="rId25" Type="http://schemas.openxmlformats.org/officeDocument/2006/relationships/hyperlink" Target="https://www.uspto.gov/web/offices/pac/mpep/mpep-9015-appx-l.html" TargetMode="External"/><Relationship Id="rId33" Type="http://schemas.openxmlformats.org/officeDocument/2006/relationships/hyperlink" Target="https://www.uspto.gov/web/offices/pac/mpep/mpep-9015-appx-l.html" TargetMode="External"/><Relationship Id="rId38" Type="http://schemas.openxmlformats.org/officeDocument/2006/relationships/hyperlink" Target="https://www.uspto.gov/web/offices/pac/mpep/mpep-9015-appx-l.html" TargetMode="External"/><Relationship Id="rId46" Type="http://schemas.openxmlformats.org/officeDocument/2006/relationships/hyperlink" Target="https://www.uspto.gov/web/offices/pac/mpep/s2159.html" TargetMode="External"/><Relationship Id="rId59" Type="http://schemas.openxmlformats.org/officeDocument/2006/relationships/hyperlink" Target="https://www.uspto.gov/web/offices/pac/mpep/s2159.html" TargetMode="External"/><Relationship Id="rId67" Type="http://schemas.openxmlformats.org/officeDocument/2006/relationships/hyperlink" Target="https://www.uspto.gov/web/offices/pac/mpep/mpep-9015-appx-l.html" TargetMode="External"/><Relationship Id="rId20" Type="http://schemas.openxmlformats.org/officeDocument/2006/relationships/hyperlink" Target="https://www.uspto.gov/web/offices/pac/mpep/mpep-9015-appx-l.html" TargetMode="External"/><Relationship Id="rId41" Type="http://schemas.openxmlformats.org/officeDocument/2006/relationships/hyperlink" Target="https://www.uspto.gov/web/offices/pac/mpep/mpep-9015-appx-l.html" TargetMode="External"/><Relationship Id="rId54" Type="http://schemas.openxmlformats.org/officeDocument/2006/relationships/hyperlink" Target="https://www.uspto.gov/web/offices/pac/mpep/s2128.html" TargetMode="External"/><Relationship Id="rId62" Type="http://schemas.openxmlformats.org/officeDocument/2006/relationships/hyperlink" Target="https://www.uspto.gov/web/offices/pac/mpep/mpep-9015-appx-l.html"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445</TotalTime>
  <Pages>3</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Lampert</dc:creator>
  <cp:keywords/>
  <dc:description/>
  <cp:lastModifiedBy>James Lampert</cp:lastModifiedBy>
  <cp:revision>1</cp:revision>
  <dcterms:created xsi:type="dcterms:W3CDTF">2017-05-30T13:46:00Z</dcterms:created>
  <dcterms:modified xsi:type="dcterms:W3CDTF">2017-05-30T21:43:00Z</dcterms:modified>
</cp:coreProperties>
</file>