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0ADF4" w14:textId="3F0097BD" w:rsidR="00643BA6" w:rsidRDefault="00643BA6">
      <w:pPr>
        <w:rPr>
          <w:b/>
          <w:bCs/>
          <w:noProof/>
          <w:u w:val="single"/>
        </w:rPr>
      </w:pPr>
      <w:r>
        <w:rPr>
          <w:b/>
          <w:bCs/>
          <w:noProof/>
          <w:u w:val="single"/>
        </w:rPr>
        <w:t>BIBLIOGRAPHY</w:t>
      </w:r>
    </w:p>
    <w:p w14:paraId="2418DBFC" w14:textId="77777777" w:rsidR="00643BA6" w:rsidRPr="00643BA6" w:rsidRDefault="00643BA6">
      <w:pPr>
        <w:rPr>
          <w:noProof/>
          <w:u w:val="single"/>
        </w:rPr>
      </w:pPr>
    </w:p>
    <w:p w14:paraId="58A0005D" w14:textId="01FCF8C7" w:rsidR="005B1D54" w:rsidRDefault="00643BA6">
      <w:pPr>
        <w:rPr>
          <w:noProof/>
        </w:rPr>
      </w:pPr>
      <w:r w:rsidRPr="006D0070">
        <w:rPr>
          <w:noProof/>
        </w:rPr>
        <w:t xml:space="preserve">Postler A, Lützner C, Beyer F, Tille E, Lützner J. Analysis of Total Knee Arthroplasty revision causes. </w:t>
      </w:r>
      <w:r w:rsidRPr="006D0070">
        <w:rPr>
          <w:i/>
          <w:noProof/>
        </w:rPr>
        <w:t>BMC Musculoskelet Disord</w:t>
      </w:r>
      <w:r w:rsidRPr="006D0070">
        <w:rPr>
          <w:noProof/>
        </w:rPr>
        <w:t>. Feb 14 2018;19(1):55. doi:10.1186/s12891-018-1977-y</w:t>
      </w:r>
    </w:p>
    <w:p w14:paraId="51DCB82D" w14:textId="77777777" w:rsidR="00643BA6" w:rsidRDefault="00643BA6">
      <w:pPr>
        <w:rPr>
          <w:noProof/>
        </w:rPr>
      </w:pPr>
    </w:p>
    <w:p w14:paraId="48B9BAE4" w14:textId="77777777" w:rsidR="00643BA6" w:rsidRPr="006D0070" w:rsidRDefault="00643BA6" w:rsidP="00643BA6">
      <w:pPr>
        <w:pStyle w:val="EndNoteBibliography"/>
        <w:numPr>
          <w:ilvl w:val="0"/>
          <w:numId w:val="0"/>
        </w:numPr>
        <w:rPr>
          <w:noProof/>
        </w:rPr>
      </w:pPr>
      <w:r w:rsidRPr="006D0070">
        <w:rPr>
          <w:noProof/>
        </w:rPr>
        <w:t xml:space="preserve">Helito CP, Sobrado MF, Giglio PN, et al. The use of negative-pressure wound therapy after total knee arthroplasty is effective for reducing complications and the need for reintervention. </w:t>
      </w:r>
      <w:r w:rsidRPr="006D0070">
        <w:rPr>
          <w:i/>
          <w:noProof/>
        </w:rPr>
        <w:t>BMC Musculoskelet Disord</w:t>
      </w:r>
      <w:r w:rsidRPr="006D0070">
        <w:rPr>
          <w:noProof/>
        </w:rPr>
        <w:t>. Jul 25 2020;21(1):490. doi:10.1186/s12891-020-03510-z</w:t>
      </w:r>
    </w:p>
    <w:p w14:paraId="5C932B59" w14:textId="77777777" w:rsidR="00643BA6" w:rsidRDefault="00643BA6"/>
    <w:p w14:paraId="7CBB5E26" w14:textId="77777777" w:rsidR="00643BA6" w:rsidRPr="006D0070" w:rsidRDefault="00643BA6" w:rsidP="00643BA6">
      <w:pPr>
        <w:pStyle w:val="EndNoteBibliography"/>
        <w:numPr>
          <w:ilvl w:val="0"/>
          <w:numId w:val="0"/>
        </w:numPr>
        <w:rPr>
          <w:noProof/>
        </w:rPr>
      </w:pPr>
      <w:r w:rsidRPr="006D0070">
        <w:rPr>
          <w:noProof/>
        </w:rPr>
        <w:t xml:space="preserve">Chau WW, Lo KC, Lau LC, Ong MT, Ho KK. Single use Negative Pressure Wound Therapy (NPWT) system in the management of knee arthroplasty. </w:t>
      </w:r>
      <w:r w:rsidRPr="006D0070">
        <w:rPr>
          <w:i/>
          <w:noProof/>
        </w:rPr>
        <w:t>BMC Musculoskelet Disord</w:t>
      </w:r>
      <w:r w:rsidRPr="006D0070">
        <w:rPr>
          <w:noProof/>
        </w:rPr>
        <w:t>. May 05 2023;24(1):351. doi:10.1186/s12891-023-06470-2</w:t>
      </w:r>
    </w:p>
    <w:p w14:paraId="753E93DC" w14:textId="77777777" w:rsidR="00643BA6" w:rsidRDefault="00643BA6"/>
    <w:p w14:paraId="5016FCFB" w14:textId="77777777" w:rsidR="00643BA6" w:rsidRPr="006D0070" w:rsidRDefault="00643BA6" w:rsidP="00643BA6">
      <w:pPr>
        <w:pStyle w:val="EndNoteBibliography"/>
        <w:numPr>
          <w:ilvl w:val="0"/>
          <w:numId w:val="0"/>
        </w:numPr>
        <w:rPr>
          <w:noProof/>
        </w:rPr>
      </w:pPr>
      <w:r w:rsidRPr="006D0070">
        <w:rPr>
          <w:noProof/>
        </w:rPr>
        <w:t xml:space="preserve">Doman DM, Young AM, Buller LT, Deckard ER, Meneghini RM. Comparison of Surgical Site Complications With Negative Pressure Wound Therapy vs Silver Impregnated Dressing in High-Risk Total Knee Arthroplasty Patients: A Matched Cohort Study. </w:t>
      </w:r>
      <w:r w:rsidRPr="006D0070">
        <w:rPr>
          <w:i/>
          <w:noProof/>
        </w:rPr>
        <w:t>J Arthroplasty</w:t>
      </w:r>
      <w:r w:rsidRPr="006D0070">
        <w:rPr>
          <w:noProof/>
        </w:rPr>
        <w:t>. Oct 2021;36(10):3437-3442. doi:10.1016/j.arth.2021.05.030</w:t>
      </w:r>
    </w:p>
    <w:p w14:paraId="550586F3" w14:textId="77777777" w:rsidR="00643BA6" w:rsidRDefault="00643BA6"/>
    <w:p w14:paraId="4D8D47D6" w14:textId="4009BE13" w:rsidR="00643BA6" w:rsidRDefault="00643BA6">
      <w:r w:rsidRPr="006D0070">
        <w:rPr>
          <w:noProof/>
        </w:rPr>
        <w:t xml:space="preserve">Song QC, Li D, Zhao Y, et al. Negative pressure wound therapy reduces the incidence of postoperative wound dehiscence and surgical site infections after total knee arthroplasty in patients with obesity. </w:t>
      </w:r>
      <w:r w:rsidRPr="006D0070">
        <w:rPr>
          <w:i/>
          <w:noProof/>
        </w:rPr>
        <w:t>Medicine (Baltimore)</w:t>
      </w:r>
      <w:r w:rsidRPr="006D0070">
        <w:rPr>
          <w:noProof/>
        </w:rPr>
        <w:t>. Jul 08 2022;101(27):e29641. doi:10.1097/MD.0000000000029641</w:t>
      </w:r>
    </w:p>
    <w:sectPr w:rsidR="00643B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46A9F"/>
    <w:multiLevelType w:val="hybridMultilevel"/>
    <w:tmpl w:val="52CAA270"/>
    <w:lvl w:ilvl="0" w:tplc="0122F150">
      <w:start w:val="1"/>
      <w:numFmt w:val="bullet"/>
      <w:pStyle w:val="EndNoteBibliography"/>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546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BA6"/>
    <w:rsid w:val="00027D64"/>
    <w:rsid w:val="00045E3A"/>
    <w:rsid w:val="00086CFA"/>
    <w:rsid w:val="000C5DAE"/>
    <w:rsid w:val="000D1045"/>
    <w:rsid w:val="000F0417"/>
    <w:rsid w:val="00112317"/>
    <w:rsid w:val="001A7C3F"/>
    <w:rsid w:val="001B1490"/>
    <w:rsid w:val="001D0223"/>
    <w:rsid w:val="001F4187"/>
    <w:rsid w:val="002576C0"/>
    <w:rsid w:val="00257997"/>
    <w:rsid w:val="00271C51"/>
    <w:rsid w:val="002773E5"/>
    <w:rsid w:val="00337BD0"/>
    <w:rsid w:val="0034081C"/>
    <w:rsid w:val="003B0A2E"/>
    <w:rsid w:val="003F1C1F"/>
    <w:rsid w:val="00410857"/>
    <w:rsid w:val="0041707D"/>
    <w:rsid w:val="00432755"/>
    <w:rsid w:val="004408C9"/>
    <w:rsid w:val="00476300"/>
    <w:rsid w:val="00485194"/>
    <w:rsid w:val="00495491"/>
    <w:rsid w:val="004B39BD"/>
    <w:rsid w:val="004F6F4C"/>
    <w:rsid w:val="005032C4"/>
    <w:rsid w:val="00564BB0"/>
    <w:rsid w:val="00570C0E"/>
    <w:rsid w:val="005B1D54"/>
    <w:rsid w:val="005D3844"/>
    <w:rsid w:val="005F419B"/>
    <w:rsid w:val="00610556"/>
    <w:rsid w:val="00643BA6"/>
    <w:rsid w:val="006A2399"/>
    <w:rsid w:val="006F0EDE"/>
    <w:rsid w:val="00754948"/>
    <w:rsid w:val="007A26B6"/>
    <w:rsid w:val="007D10ED"/>
    <w:rsid w:val="007D56EB"/>
    <w:rsid w:val="0083202E"/>
    <w:rsid w:val="0085786A"/>
    <w:rsid w:val="008623F6"/>
    <w:rsid w:val="008D1228"/>
    <w:rsid w:val="008D23E0"/>
    <w:rsid w:val="008E3E8A"/>
    <w:rsid w:val="008E5B22"/>
    <w:rsid w:val="008F5E24"/>
    <w:rsid w:val="008F69DF"/>
    <w:rsid w:val="00903C7C"/>
    <w:rsid w:val="00A03AF6"/>
    <w:rsid w:val="00A05AF4"/>
    <w:rsid w:val="00A4797E"/>
    <w:rsid w:val="00AD596F"/>
    <w:rsid w:val="00AF0EB3"/>
    <w:rsid w:val="00B370C5"/>
    <w:rsid w:val="00B843FB"/>
    <w:rsid w:val="00B920BE"/>
    <w:rsid w:val="00B9368D"/>
    <w:rsid w:val="00BB1585"/>
    <w:rsid w:val="00C13440"/>
    <w:rsid w:val="00CD2994"/>
    <w:rsid w:val="00CE50C9"/>
    <w:rsid w:val="00CF3185"/>
    <w:rsid w:val="00D344C3"/>
    <w:rsid w:val="00D506F7"/>
    <w:rsid w:val="00D84E45"/>
    <w:rsid w:val="00DA2DBC"/>
    <w:rsid w:val="00DC06E8"/>
    <w:rsid w:val="00DD11ED"/>
    <w:rsid w:val="00DD34E7"/>
    <w:rsid w:val="00DF5B6F"/>
    <w:rsid w:val="00E07550"/>
    <w:rsid w:val="00E42044"/>
    <w:rsid w:val="00E73B7D"/>
    <w:rsid w:val="00EE0537"/>
    <w:rsid w:val="00F0005D"/>
    <w:rsid w:val="00F52CC3"/>
    <w:rsid w:val="00F566EA"/>
    <w:rsid w:val="00FB7064"/>
    <w:rsid w:val="00FE4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76C00F"/>
  <w15:chartTrackingRefBased/>
  <w15:docId w15:val="{4113C137-251F-724F-83F2-0097C2A7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B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3B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3B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3B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3B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3BA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BA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BA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BA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B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3B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3B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3B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3B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3B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B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B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BA6"/>
    <w:rPr>
      <w:rFonts w:eastAsiaTheme="majorEastAsia" w:cstheme="majorBidi"/>
      <w:color w:val="272727" w:themeColor="text1" w:themeTint="D8"/>
    </w:rPr>
  </w:style>
  <w:style w:type="paragraph" w:styleId="Title">
    <w:name w:val="Title"/>
    <w:basedOn w:val="Normal"/>
    <w:next w:val="Normal"/>
    <w:link w:val="TitleChar"/>
    <w:uiPriority w:val="10"/>
    <w:qFormat/>
    <w:rsid w:val="00643BA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B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BA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B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BA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43BA6"/>
    <w:rPr>
      <w:i/>
      <w:iCs/>
      <w:color w:val="404040" w:themeColor="text1" w:themeTint="BF"/>
    </w:rPr>
  </w:style>
  <w:style w:type="paragraph" w:styleId="ListParagraph">
    <w:name w:val="List Paragraph"/>
    <w:basedOn w:val="Normal"/>
    <w:uiPriority w:val="34"/>
    <w:qFormat/>
    <w:rsid w:val="00643BA6"/>
    <w:pPr>
      <w:ind w:left="720"/>
      <w:contextualSpacing/>
    </w:pPr>
  </w:style>
  <w:style w:type="character" w:styleId="IntenseEmphasis">
    <w:name w:val="Intense Emphasis"/>
    <w:basedOn w:val="DefaultParagraphFont"/>
    <w:uiPriority w:val="21"/>
    <w:qFormat/>
    <w:rsid w:val="00643BA6"/>
    <w:rPr>
      <w:i/>
      <w:iCs/>
      <w:color w:val="2F5496" w:themeColor="accent1" w:themeShade="BF"/>
    </w:rPr>
  </w:style>
  <w:style w:type="paragraph" w:styleId="IntenseQuote">
    <w:name w:val="Intense Quote"/>
    <w:basedOn w:val="Normal"/>
    <w:next w:val="Normal"/>
    <w:link w:val="IntenseQuoteChar"/>
    <w:uiPriority w:val="30"/>
    <w:qFormat/>
    <w:rsid w:val="00643B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3BA6"/>
    <w:rPr>
      <w:i/>
      <w:iCs/>
      <w:color w:val="2F5496" w:themeColor="accent1" w:themeShade="BF"/>
    </w:rPr>
  </w:style>
  <w:style w:type="character" w:styleId="IntenseReference">
    <w:name w:val="Intense Reference"/>
    <w:basedOn w:val="DefaultParagraphFont"/>
    <w:uiPriority w:val="32"/>
    <w:qFormat/>
    <w:rsid w:val="00643BA6"/>
    <w:rPr>
      <w:b/>
      <w:bCs/>
      <w:smallCaps/>
      <w:color w:val="2F5496" w:themeColor="accent1" w:themeShade="BF"/>
      <w:spacing w:val="5"/>
    </w:rPr>
  </w:style>
  <w:style w:type="paragraph" w:customStyle="1" w:styleId="EndNoteBibliography">
    <w:name w:val="EndNote Bibliography"/>
    <w:basedOn w:val="Normal"/>
    <w:link w:val="EndNoteBibliographyChar"/>
    <w:rsid w:val="00643BA6"/>
    <w:pPr>
      <w:numPr>
        <w:numId w:val="1"/>
      </w:numPr>
    </w:pPr>
    <w:rPr>
      <w:rFonts w:ascii="Calibri" w:hAnsi="Calibri" w:cs="Calibri"/>
    </w:rPr>
  </w:style>
  <w:style w:type="character" w:customStyle="1" w:styleId="EndNoteBibliographyChar">
    <w:name w:val="EndNote Bibliography Char"/>
    <w:basedOn w:val="DefaultParagraphFont"/>
    <w:link w:val="EndNoteBibliography"/>
    <w:rsid w:val="00643BA6"/>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Guse</dc:creator>
  <cp:keywords/>
  <dc:description/>
  <cp:lastModifiedBy>alyssapotter86@gmail.com</cp:lastModifiedBy>
  <cp:revision>2</cp:revision>
  <dcterms:created xsi:type="dcterms:W3CDTF">2025-03-10T17:30:00Z</dcterms:created>
  <dcterms:modified xsi:type="dcterms:W3CDTF">2025-03-10T17:30:00Z</dcterms:modified>
</cp:coreProperties>
</file>