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2D6A7" w14:textId="108E64D8" w:rsidR="005C43FD" w:rsidRDefault="003D3AD8">
      <w:pPr>
        <w:rPr>
          <w:rFonts w:ascii="Arial" w:hAnsi="Arial" w:cs="Arial"/>
          <w:b/>
          <w:bCs/>
          <w:sz w:val="24"/>
          <w:szCs w:val="24"/>
        </w:rPr>
      </w:pPr>
      <w:r w:rsidRPr="003D3AD8">
        <w:rPr>
          <w:rFonts w:ascii="Arial" w:hAnsi="Arial" w:cs="Arial"/>
          <w:b/>
          <w:bCs/>
          <w:sz w:val="24"/>
          <w:szCs w:val="24"/>
        </w:rPr>
        <w:t>Bibliography</w:t>
      </w:r>
    </w:p>
    <w:p w14:paraId="3E0AE4B0" w14:textId="77777777" w:rsidR="005C3CED" w:rsidRPr="005C3CED" w:rsidRDefault="005C3CED" w:rsidP="005C3CED">
      <w:pPr>
        <w:pStyle w:val="ListParagraph"/>
        <w:numPr>
          <w:ilvl w:val="0"/>
          <w:numId w:val="2"/>
        </w:numPr>
        <w:spacing w:after="200" w:line="240" w:lineRule="auto"/>
        <w:rPr>
          <w:rFonts w:ascii="Arial" w:hAnsi="Arial" w:cs="Arial"/>
          <w:bCs/>
          <w:sz w:val="24"/>
          <w:szCs w:val="24"/>
        </w:rPr>
      </w:pPr>
      <w:r w:rsidRPr="005C3CED">
        <w:rPr>
          <w:rFonts w:ascii="Arial" w:eastAsia="Arial" w:hAnsi="Arial" w:cs="Arial"/>
          <w:sz w:val="24"/>
          <w:szCs w:val="24"/>
        </w:rPr>
        <w:t xml:space="preserve">Rahlin M, </w:t>
      </w:r>
      <w:r w:rsidRPr="005C3CED">
        <w:rPr>
          <w:rFonts w:ascii="Arial" w:hAnsi="Arial" w:cs="Arial"/>
          <w:sz w:val="24"/>
          <w:szCs w:val="24"/>
        </w:rPr>
        <w:t xml:space="preserve">Barnett J, Sarmiento B. </w:t>
      </w:r>
      <w:bookmarkStart w:id="0" w:name="_Hlk136200117"/>
      <w:r w:rsidRPr="005C3CED">
        <w:rPr>
          <w:rFonts w:ascii="Arial" w:hAnsi="Arial" w:cs="Arial"/>
          <w:sz w:val="24"/>
          <w:szCs w:val="24"/>
        </w:rPr>
        <w:t>Functional Symmetry Observation Scale, Version 2: Development and content validation using a modified Delphi method</w:t>
      </w:r>
      <w:r w:rsidRPr="005C3CED">
        <w:rPr>
          <w:rFonts w:ascii="Arial" w:eastAsia="Calibri" w:hAnsi="Arial" w:cs="Arial"/>
          <w:sz w:val="24"/>
          <w:szCs w:val="24"/>
        </w:rPr>
        <w:t xml:space="preserve">. </w:t>
      </w:r>
      <w:bookmarkEnd w:id="0"/>
      <w:r w:rsidRPr="005C3CED">
        <w:rPr>
          <w:rFonts w:ascii="Arial" w:eastAsia="Calibri" w:hAnsi="Arial" w:cs="Arial"/>
          <w:i/>
          <w:iCs/>
          <w:sz w:val="24"/>
          <w:szCs w:val="24"/>
        </w:rPr>
        <w:t>Pediatr Phys Ther.</w:t>
      </w:r>
      <w:r w:rsidRPr="005C3CED">
        <w:rPr>
          <w:rFonts w:ascii="Arial" w:eastAsia="Calibri" w:hAnsi="Arial" w:cs="Arial"/>
          <w:sz w:val="24"/>
          <w:szCs w:val="24"/>
        </w:rPr>
        <w:t xml:space="preserve"> 2022;</w:t>
      </w:r>
      <w:r w:rsidRPr="005C3CED">
        <w:rPr>
          <w:rFonts w:ascii="Arial" w:hAnsi="Arial" w:cs="Arial"/>
          <w:color w:val="000000"/>
          <w:sz w:val="24"/>
          <w:szCs w:val="24"/>
        </w:rPr>
        <w:t>34(1):37-44.</w:t>
      </w:r>
    </w:p>
    <w:p w14:paraId="5DAA072A" w14:textId="77777777" w:rsidR="005C3CED" w:rsidRDefault="005C3CED" w:rsidP="005C3CED">
      <w:pPr>
        <w:pStyle w:val="ListParagraph"/>
        <w:numPr>
          <w:ilvl w:val="0"/>
          <w:numId w:val="2"/>
        </w:numPr>
        <w:spacing w:after="200" w:line="240" w:lineRule="auto"/>
        <w:rPr>
          <w:rFonts w:ascii="Arial" w:hAnsi="Arial" w:cs="Arial"/>
          <w:bCs/>
          <w:sz w:val="24"/>
          <w:szCs w:val="24"/>
        </w:rPr>
      </w:pPr>
      <w:r w:rsidRPr="005C3CED">
        <w:rPr>
          <w:rFonts w:ascii="Arial" w:hAnsi="Arial" w:cs="Arial"/>
          <w:sz w:val="24"/>
          <w:szCs w:val="24"/>
        </w:rPr>
        <w:t xml:space="preserve">Rahlin M, Sarmiento B. </w:t>
      </w:r>
      <w:r w:rsidRPr="005C3CED">
        <w:rPr>
          <w:rFonts w:ascii="Arial" w:hAnsi="Arial" w:cs="Arial"/>
          <w:color w:val="000000"/>
          <w:sz w:val="24"/>
          <w:szCs w:val="24"/>
        </w:rPr>
        <w:t xml:space="preserve">Functional Symmetry Observation Scale, Version 2: reliability, construct validity, and potential for clinical use. </w:t>
      </w:r>
      <w:r w:rsidRPr="005C3CED">
        <w:rPr>
          <w:rFonts w:ascii="Arial" w:hAnsi="Arial" w:cs="Arial"/>
          <w:i/>
          <w:iCs/>
          <w:color w:val="000000"/>
          <w:sz w:val="24"/>
          <w:szCs w:val="24"/>
        </w:rPr>
        <w:t>Pediatr Phys Ther.</w:t>
      </w:r>
      <w:r w:rsidRPr="005C3CED">
        <w:rPr>
          <w:rFonts w:ascii="Arial" w:hAnsi="Arial" w:cs="Arial"/>
          <w:bCs/>
          <w:sz w:val="24"/>
          <w:szCs w:val="24"/>
        </w:rPr>
        <w:t xml:space="preserve"> 2024;36(4):498-505. </w:t>
      </w:r>
    </w:p>
    <w:p w14:paraId="620BCB1A" w14:textId="4387B138" w:rsidR="003D3AD8" w:rsidRPr="00A02513" w:rsidRDefault="00A02513" w:rsidP="005C3CED">
      <w:pPr>
        <w:pStyle w:val="ListParagraph"/>
        <w:numPr>
          <w:ilvl w:val="0"/>
          <w:numId w:val="2"/>
        </w:numPr>
        <w:spacing w:after="200" w:line="240" w:lineRule="auto"/>
        <w:rPr>
          <w:rFonts w:ascii="Arial" w:hAnsi="Arial" w:cs="Arial"/>
          <w:bCs/>
          <w:sz w:val="24"/>
          <w:szCs w:val="24"/>
        </w:rPr>
      </w:pPr>
      <w:r w:rsidRPr="00A02513">
        <w:rPr>
          <w:rFonts w:ascii="Arial" w:hAnsi="Arial" w:cs="Arial"/>
          <w:sz w:val="24"/>
          <w:szCs w:val="24"/>
        </w:rPr>
        <w:t xml:space="preserve">Sargent B, Coulter C, Cannoy J, Sargent B, Kaplan SL.  Physical therapy management of congenital muscular torticollis: A 2024 evidence-based clinical practice guideline from the American Physical Therapy Association Academy of Pediatric Physical Therapy. </w:t>
      </w:r>
      <w:r w:rsidRPr="00A02513">
        <w:rPr>
          <w:rFonts w:ascii="Arial" w:hAnsi="Arial" w:cs="Arial"/>
          <w:i/>
          <w:iCs/>
          <w:sz w:val="24"/>
          <w:szCs w:val="24"/>
        </w:rPr>
        <w:t>Pediatr Phys Ther.</w:t>
      </w:r>
      <w:r w:rsidRPr="00A02513">
        <w:rPr>
          <w:rFonts w:ascii="Arial" w:hAnsi="Arial" w:cs="Arial"/>
          <w:sz w:val="24"/>
          <w:szCs w:val="24"/>
        </w:rPr>
        <w:t xml:space="preserve"> 2024;36(4):370-421.</w:t>
      </w:r>
    </w:p>
    <w:p w14:paraId="68F735F6" w14:textId="6EDDFF66" w:rsidR="005C3CED" w:rsidRPr="005C3CED" w:rsidRDefault="005C3CED" w:rsidP="005C3CED">
      <w:pPr>
        <w:pStyle w:val="ListParagraph"/>
        <w:numPr>
          <w:ilvl w:val="0"/>
          <w:numId w:val="2"/>
        </w:numPr>
        <w:spacing w:after="200" w:line="240" w:lineRule="auto"/>
        <w:rPr>
          <w:rFonts w:ascii="Arial" w:hAnsi="Arial" w:cs="Arial"/>
          <w:bCs/>
          <w:sz w:val="24"/>
          <w:szCs w:val="24"/>
        </w:rPr>
      </w:pPr>
      <w:r w:rsidRPr="005C3CED">
        <w:rPr>
          <w:rFonts w:ascii="Arial" w:hAnsi="Arial" w:cs="Arial"/>
          <w:sz w:val="24"/>
          <w:szCs w:val="24"/>
        </w:rPr>
        <w:t>Oledzka M, Gaetani S, Hlawati E. Commentary on “</w:t>
      </w:r>
      <w:r w:rsidRPr="005C3CED">
        <w:rPr>
          <w:rFonts w:ascii="Arial" w:hAnsi="Arial" w:cs="Arial"/>
          <w:color w:val="000000"/>
          <w:sz w:val="24"/>
          <w:szCs w:val="24"/>
        </w:rPr>
        <w:t xml:space="preserve">Functional Symmetry Observation Scale, Version 2: reliability, construct validity, and potential for clinical use.” </w:t>
      </w:r>
      <w:r w:rsidRPr="005C3CED">
        <w:rPr>
          <w:rFonts w:ascii="Arial" w:hAnsi="Arial" w:cs="Arial"/>
          <w:i/>
          <w:iCs/>
          <w:color w:val="000000"/>
          <w:sz w:val="24"/>
          <w:szCs w:val="24"/>
        </w:rPr>
        <w:t>Pediatr Phys Ther.</w:t>
      </w:r>
      <w:r w:rsidRPr="005C3CED">
        <w:rPr>
          <w:rFonts w:ascii="Arial" w:hAnsi="Arial" w:cs="Arial"/>
          <w:bCs/>
          <w:sz w:val="24"/>
          <w:szCs w:val="24"/>
        </w:rPr>
        <w:t xml:space="preserve"> 2024;36(4):506.</w:t>
      </w:r>
    </w:p>
    <w:p w14:paraId="73941D73" w14:textId="143AC163" w:rsidR="005C3CED" w:rsidRPr="005C3CED" w:rsidRDefault="005C3CED" w:rsidP="005C3CED">
      <w:pPr>
        <w:pStyle w:val="ListParagraph"/>
        <w:numPr>
          <w:ilvl w:val="0"/>
          <w:numId w:val="2"/>
        </w:numPr>
        <w:spacing w:after="200" w:line="240" w:lineRule="auto"/>
        <w:rPr>
          <w:rStyle w:val="doi"/>
          <w:rFonts w:ascii="Arial" w:hAnsi="Arial" w:cs="Arial"/>
          <w:bCs/>
          <w:sz w:val="24"/>
          <w:szCs w:val="24"/>
        </w:rPr>
      </w:pPr>
      <w:r w:rsidRPr="005C3CED">
        <w:rPr>
          <w:rFonts w:ascii="Arial" w:hAnsi="Arial" w:cs="Arial"/>
          <w:sz w:val="24"/>
          <w:szCs w:val="24"/>
        </w:rPr>
        <w:t xml:space="preserve">Rahlin M, Haney NB, Barnett J. Perception-Action Approach versus standard care for infants with congenital muscular torticollis: A pilot single-blind randomized controlled trial. </w:t>
      </w:r>
      <w:r w:rsidRPr="005C3CED">
        <w:rPr>
          <w:rFonts w:ascii="Arial" w:hAnsi="Arial" w:cs="Arial"/>
          <w:i/>
          <w:iCs/>
          <w:sz w:val="24"/>
          <w:szCs w:val="24"/>
        </w:rPr>
        <w:t>Phys Ther.</w:t>
      </w:r>
      <w:r w:rsidRPr="005C3CED">
        <w:rPr>
          <w:rFonts w:ascii="Arial" w:hAnsi="Arial" w:cs="Arial"/>
          <w:sz w:val="24"/>
          <w:szCs w:val="24"/>
        </w:rPr>
        <w:t xml:space="preserve"> 2024;104(4):pzae038. doi:</w:t>
      </w:r>
      <w:r w:rsidRPr="005C3CED">
        <w:rPr>
          <w:rStyle w:val="doi"/>
          <w:rFonts w:ascii="Arial" w:hAnsi="Arial" w:cs="Arial"/>
          <w:sz w:val="24"/>
          <w:szCs w:val="24"/>
        </w:rPr>
        <w:t>10.1093/ptj/pzae038</w:t>
      </w:r>
    </w:p>
    <w:p w14:paraId="3C2A6014" w14:textId="3C296380" w:rsidR="005C3CED" w:rsidRPr="005C3CED" w:rsidRDefault="005C3CED" w:rsidP="005C3CED">
      <w:pPr>
        <w:pStyle w:val="ListParagraph"/>
        <w:numPr>
          <w:ilvl w:val="0"/>
          <w:numId w:val="2"/>
        </w:numPr>
        <w:spacing w:after="200" w:line="240" w:lineRule="auto"/>
        <w:rPr>
          <w:rFonts w:ascii="Arial" w:hAnsi="Arial" w:cs="Arial"/>
          <w:bCs/>
          <w:sz w:val="24"/>
          <w:szCs w:val="24"/>
        </w:rPr>
      </w:pPr>
      <w:r w:rsidRPr="005C3CED">
        <w:rPr>
          <w:rFonts w:ascii="Arial" w:hAnsi="Arial" w:cs="Arial"/>
          <w:sz w:val="24"/>
          <w:szCs w:val="24"/>
        </w:rPr>
        <w:t xml:space="preserve">Portney LG, Gross D. Measurement revisited: reliability and validity statistics. In: Portney LG, ed. </w:t>
      </w:r>
      <w:r w:rsidRPr="005C3CED">
        <w:rPr>
          <w:rFonts w:ascii="Arial" w:hAnsi="Arial" w:cs="Arial"/>
          <w:i/>
          <w:sz w:val="24"/>
          <w:szCs w:val="24"/>
        </w:rPr>
        <w:t>Foundations of Clinical Research: Applications to Evidence-Based Practice.</w:t>
      </w:r>
      <w:r w:rsidRPr="005C3CED">
        <w:rPr>
          <w:rFonts w:ascii="Arial" w:hAnsi="Arial" w:cs="Arial"/>
          <w:sz w:val="24"/>
          <w:szCs w:val="24"/>
        </w:rPr>
        <w:t xml:space="preserve"> 4</w:t>
      </w:r>
      <w:r w:rsidRPr="005C3CED">
        <w:rPr>
          <w:rFonts w:ascii="Arial" w:hAnsi="Arial" w:cs="Arial"/>
          <w:sz w:val="24"/>
          <w:szCs w:val="24"/>
          <w:vertAlign w:val="superscript"/>
        </w:rPr>
        <w:t>th</w:t>
      </w:r>
      <w:r w:rsidRPr="005C3CED">
        <w:rPr>
          <w:rFonts w:ascii="Arial" w:hAnsi="Arial" w:cs="Arial"/>
          <w:sz w:val="24"/>
          <w:szCs w:val="24"/>
        </w:rPr>
        <w:t xml:space="preserve"> ed. Philadelphia, PA: F.A. Davis Company; 2020:486-508.</w:t>
      </w:r>
    </w:p>
    <w:p w14:paraId="758B5558" w14:textId="1E143CC7" w:rsidR="005C3CED" w:rsidRPr="005C3CED" w:rsidRDefault="005C3CED" w:rsidP="005C3CED">
      <w:pPr>
        <w:pStyle w:val="ListParagraph"/>
        <w:numPr>
          <w:ilvl w:val="0"/>
          <w:numId w:val="2"/>
        </w:numPr>
        <w:spacing w:after="200" w:line="240" w:lineRule="auto"/>
        <w:rPr>
          <w:rFonts w:ascii="Arial" w:hAnsi="Arial" w:cs="Arial"/>
          <w:bCs/>
          <w:sz w:val="24"/>
          <w:szCs w:val="24"/>
        </w:rPr>
      </w:pPr>
      <w:r w:rsidRPr="005C3CED">
        <w:rPr>
          <w:rStyle w:val="citation-doi"/>
          <w:rFonts w:ascii="Arial" w:hAnsi="Arial" w:cs="Arial"/>
          <w:sz w:val="24"/>
          <w:szCs w:val="24"/>
        </w:rPr>
        <w:t xml:space="preserve">Portney LG. Correlation. </w:t>
      </w:r>
      <w:r w:rsidRPr="005C3CED">
        <w:rPr>
          <w:rFonts w:ascii="Arial" w:hAnsi="Arial" w:cs="Arial"/>
          <w:sz w:val="24"/>
          <w:szCs w:val="24"/>
        </w:rPr>
        <w:t xml:space="preserve">In: Portney LG, ed.  </w:t>
      </w:r>
      <w:r w:rsidRPr="005C3CED">
        <w:rPr>
          <w:rFonts w:ascii="Arial" w:hAnsi="Arial" w:cs="Arial"/>
          <w:i/>
          <w:sz w:val="24"/>
          <w:szCs w:val="24"/>
        </w:rPr>
        <w:t>Foundations of Clinical Research: Applications to Evidence-Based Practice.</w:t>
      </w:r>
      <w:r w:rsidRPr="005C3CED">
        <w:rPr>
          <w:rFonts w:ascii="Arial" w:hAnsi="Arial" w:cs="Arial"/>
          <w:sz w:val="24"/>
          <w:szCs w:val="24"/>
        </w:rPr>
        <w:t xml:space="preserve"> 4</w:t>
      </w:r>
      <w:r w:rsidRPr="005C3CED">
        <w:rPr>
          <w:rFonts w:ascii="Arial" w:hAnsi="Arial" w:cs="Arial"/>
          <w:sz w:val="24"/>
          <w:szCs w:val="24"/>
          <w:vertAlign w:val="superscript"/>
        </w:rPr>
        <w:t>th</w:t>
      </w:r>
      <w:r w:rsidRPr="005C3CED">
        <w:rPr>
          <w:rFonts w:ascii="Arial" w:hAnsi="Arial" w:cs="Arial"/>
          <w:sz w:val="24"/>
          <w:szCs w:val="24"/>
        </w:rPr>
        <w:t xml:space="preserve"> ed. Philadelphia, PA: F.A. Davis Company; 2020:428-439.</w:t>
      </w:r>
    </w:p>
    <w:sectPr w:rsidR="005C3CED" w:rsidRPr="005C3C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4522E"/>
    <w:multiLevelType w:val="hybridMultilevel"/>
    <w:tmpl w:val="0E341D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F4AC5"/>
    <w:multiLevelType w:val="hybridMultilevel"/>
    <w:tmpl w:val="7C2C4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052362">
    <w:abstractNumId w:val="1"/>
  </w:num>
  <w:num w:numId="2" w16cid:durableId="894664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AD8"/>
    <w:rsid w:val="003067BA"/>
    <w:rsid w:val="003D3AD8"/>
    <w:rsid w:val="005C3CED"/>
    <w:rsid w:val="005C43FD"/>
    <w:rsid w:val="00A02513"/>
    <w:rsid w:val="00A84705"/>
    <w:rsid w:val="00D076E1"/>
    <w:rsid w:val="00F4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3E5AF"/>
  <w15:chartTrackingRefBased/>
  <w15:docId w15:val="{8F84E8A4-6496-496B-8971-E38C165E3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3AD8"/>
    <w:pPr>
      <w:ind w:left="720"/>
      <w:contextualSpacing/>
    </w:pPr>
  </w:style>
  <w:style w:type="character" w:customStyle="1" w:styleId="doi">
    <w:name w:val="doi"/>
    <w:basedOn w:val="DefaultParagraphFont"/>
    <w:rsid w:val="005C3CED"/>
  </w:style>
  <w:style w:type="character" w:customStyle="1" w:styleId="citation-doi">
    <w:name w:val="citation-doi"/>
    <w:basedOn w:val="DefaultParagraphFont"/>
    <w:rsid w:val="005C3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alyssapotter86@gmail.com</cp:lastModifiedBy>
  <cp:revision>2</cp:revision>
  <dcterms:created xsi:type="dcterms:W3CDTF">2025-02-17T20:50:00Z</dcterms:created>
  <dcterms:modified xsi:type="dcterms:W3CDTF">2025-02-17T20:50:00Z</dcterms:modified>
</cp:coreProperties>
</file>