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C5CCD0" w:themeColor="background2" w:themeShade="E5"/>
  <w:body>
    <w:p w14:paraId="275735D0" w14:textId="39136FC0" w:rsidR="00FF018B" w:rsidRPr="00FF018B" w:rsidRDefault="00FF018B" w:rsidP="00FF018B">
      <w:pPr>
        <w:rPr>
          <w:rFonts w:asciiTheme="minorHAnsi" w:hAnsiTheme="minorHAnsi"/>
          <w:b/>
          <w:bCs/>
          <w:sz w:val="28"/>
          <w:szCs w:val="28"/>
        </w:rPr>
      </w:pPr>
      <w:r w:rsidRPr="00FF018B">
        <w:rPr>
          <w:rFonts w:asciiTheme="minorHAnsi" w:hAnsiTheme="minorHAnsi"/>
          <w:b/>
          <w:bCs/>
          <w:sz w:val="28"/>
          <w:szCs w:val="28"/>
        </w:rPr>
        <w:t>CALL FOR PAPERS &amp; PROPOSALS:</w:t>
      </w:r>
    </w:p>
    <w:p w14:paraId="3379324A" w14:textId="77777777" w:rsidR="005C6D37" w:rsidRDefault="005C6D37" w:rsidP="005C6D37">
      <w:pPr>
        <w:pStyle w:val="ListBullet"/>
        <w:numPr>
          <w:ilvl w:val="0"/>
          <w:numId w:val="0"/>
        </w:numPr>
        <w:ind w:left="360" w:hanging="360"/>
        <w:rPr>
          <w:sz w:val="32"/>
          <w:szCs w:val="32"/>
        </w:rPr>
      </w:pPr>
      <w:r w:rsidRPr="005C6D37">
        <w:rPr>
          <w:i/>
          <w:iCs/>
          <w:sz w:val="32"/>
          <w:szCs w:val="32"/>
        </w:rPr>
        <w:t>The Pacific Northwest Renaissance Society</w:t>
      </w:r>
      <w:r w:rsidRPr="005C6D37">
        <w:rPr>
          <w:sz w:val="32"/>
          <w:szCs w:val="32"/>
        </w:rPr>
        <w:t xml:space="preserve"> (PNRS) invites</w:t>
      </w:r>
    </w:p>
    <w:p w14:paraId="75A64631" w14:textId="5C235753" w:rsidR="005C6D37" w:rsidRPr="005C6D37" w:rsidRDefault="005C6D37" w:rsidP="005C6D37">
      <w:pPr>
        <w:pStyle w:val="ListBullet"/>
        <w:numPr>
          <w:ilvl w:val="0"/>
          <w:numId w:val="0"/>
        </w:numPr>
        <w:ind w:left="360" w:hanging="360"/>
        <w:rPr>
          <w:sz w:val="32"/>
          <w:szCs w:val="32"/>
        </w:rPr>
      </w:pPr>
      <w:r w:rsidRPr="005C6D37">
        <w:rPr>
          <w:sz w:val="32"/>
          <w:szCs w:val="32"/>
        </w:rPr>
        <w:t>proposals for</w:t>
      </w:r>
      <w:r>
        <w:rPr>
          <w:sz w:val="32"/>
          <w:szCs w:val="32"/>
        </w:rPr>
        <w:t xml:space="preserve"> i</w:t>
      </w:r>
      <w:r w:rsidRPr="005C6D37">
        <w:rPr>
          <w:sz w:val="32"/>
          <w:szCs w:val="32"/>
        </w:rPr>
        <w:t>ts</w:t>
      </w:r>
      <w:r>
        <w:rPr>
          <w:sz w:val="32"/>
          <w:szCs w:val="32"/>
        </w:rPr>
        <w:t xml:space="preserve"> next meeting</w:t>
      </w:r>
      <w:r w:rsidRPr="005C6D37">
        <w:rPr>
          <w:sz w:val="32"/>
          <w:szCs w:val="32"/>
        </w:rPr>
        <w:t xml:space="preserve">: </w:t>
      </w:r>
      <w:r w:rsidRPr="005C6D37">
        <w:rPr>
          <w:b/>
          <w:bCs/>
          <w:sz w:val="32"/>
          <w:szCs w:val="32"/>
        </w:rPr>
        <w:t>October 21-23</w:t>
      </w:r>
      <w:r>
        <w:rPr>
          <w:b/>
          <w:bCs/>
          <w:sz w:val="32"/>
          <w:szCs w:val="32"/>
        </w:rPr>
        <w:t xml:space="preserve">, 2027, </w:t>
      </w:r>
      <w:r w:rsidRPr="005C6D37">
        <w:rPr>
          <w:b/>
          <w:bCs/>
          <w:sz w:val="32"/>
          <w:szCs w:val="32"/>
        </w:rPr>
        <w:t>Sidney, B.C.</w:t>
      </w:r>
    </w:p>
    <w:p w14:paraId="56DC4FBF" w14:textId="77777777" w:rsidR="00E8306F" w:rsidRPr="002946B6" w:rsidRDefault="00000000">
      <w:pPr>
        <w:pStyle w:val="Title"/>
        <w:rPr>
          <w:sz w:val="48"/>
          <w:szCs w:val="48"/>
        </w:rPr>
      </w:pPr>
      <w:r w:rsidRPr="002946B6">
        <w:rPr>
          <w:sz w:val="48"/>
          <w:szCs w:val="48"/>
        </w:rPr>
        <w:t xml:space="preserve">Renaissance Bodies of Knowledge: </w:t>
      </w:r>
    </w:p>
    <w:p w14:paraId="67D658DC" w14:textId="3D288753" w:rsidR="00851781" w:rsidRPr="002946B6" w:rsidRDefault="00000000">
      <w:pPr>
        <w:pStyle w:val="Title"/>
        <w:rPr>
          <w:sz w:val="48"/>
          <w:szCs w:val="48"/>
        </w:rPr>
      </w:pPr>
      <w:r w:rsidRPr="002946B6">
        <w:rPr>
          <w:sz w:val="48"/>
          <w:szCs w:val="48"/>
        </w:rPr>
        <w:t>Human Ingenuity in Age</w:t>
      </w:r>
      <w:r w:rsidR="00FF018B" w:rsidRPr="002946B6">
        <w:rPr>
          <w:sz w:val="48"/>
          <w:szCs w:val="48"/>
        </w:rPr>
        <w:t>s</w:t>
      </w:r>
      <w:r w:rsidRPr="002946B6">
        <w:rPr>
          <w:sz w:val="48"/>
          <w:szCs w:val="48"/>
        </w:rPr>
        <w:t xml:space="preserve"> of Artifice</w:t>
      </w:r>
    </w:p>
    <w:p w14:paraId="625658DB" w14:textId="562E12EB" w:rsidR="00550A28" w:rsidRPr="00E413DC" w:rsidRDefault="005C6D37" w:rsidP="00FA6F43">
      <w:pPr>
        <w:pStyle w:val="ListBullet"/>
        <w:numPr>
          <w:ilvl w:val="0"/>
          <w:numId w:val="0"/>
        </w:numPr>
        <w:ind w:left="360" w:hanging="360"/>
        <w:rPr>
          <w:b/>
          <w:bCs/>
          <w:sz w:val="24"/>
          <w:szCs w:val="24"/>
        </w:rPr>
      </w:pPr>
      <w:r w:rsidRPr="00E413DC">
        <w:rPr>
          <w:b/>
          <w:bCs/>
          <w:sz w:val="24"/>
          <w:szCs w:val="24"/>
        </w:rPr>
        <w:t>Plenar</w:t>
      </w:r>
      <w:r w:rsidR="00FA6F43" w:rsidRPr="00E413DC">
        <w:rPr>
          <w:b/>
          <w:bCs/>
          <w:sz w:val="24"/>
          <w:szCs w:val="24"/>
        </w:rPr>
        <w:t>ies</w:t>
      </w:r>
      <w:r w:rsidRPr="00E413DC">
        <w:rPr>
          <w:b/>
          <w:bCs/>
          <w:sz w:val="24"/>
          <w:szCs w:val="24"/>
        </w:rPr>
        <w:t>: Tiffany Werth (Univ</w:t>
      </w:r>
      <w:r w:rsidR="00FA6F43" w:rsidRPr="00E413DC">
        <w:rPr>
          <w:b/>
          <w:bCs/>
          <w:sz w:val="24"/>
          <w:szCs w:val="24"/>
        </w:rPr>
        <w:t>.</w:t>
      </w:r>
      <w:r w:rsidRPr="00E413DC">
        <w:rPr>
          <w:b/>
          <w:bCs/>
          <w:sz w:val="24"/>
          <w:szCs w:val="24"/>
        </w:rPr>
        <w:t xml:space="preserve"> of California, Davis)</w:t>
      </w:r>
      <w:r w:rsidR="00E413DC" w:rsidRPr="00E413DC">
        <w:rPr>
          <w:b/>
          <w:bCs/>
          <w:sz w:val="24"/>
          <w:szCs w:val="24"/>
        </w:rPr>
        <w:t xml:space="preserve">; </w:t>
      </w:r>
      <w:r w:rsidRPr="00E413DC">
        <w:rPr>
          <w:b/>
          <w:bCs/>
          <w:sz w:val="24"/>
          <w:szCs w:val="24"/>
        </w:rPr>
        <w:t>Katherine Schaap Williams (University of Toronto)</w:t>
      </w:r>
    </w:p>
    <w:p w14:paraId="00B03733" w14:textId="1FBD1828" w:rsidR="00851781" w:rsidRPr="00E444F6" w:rsidRDefault="00550A28" w:rsidP="00550A28">
      <w:pPr>
        <w:pStyle w:val="Heading1"/>
        <w:rPr>
          <w:sz w:val="24"/>
          <w:szCs w:val="24"/>
        </w:rPr>
      </w:pPr>
      <w:r w:rsidRPr="00E444F6">
        <w:rPr>
          <w:sz w:val="24"/>
          <w:szCs w:val="24"/>
        </w:rPr>
        <w:t>Central Ideas</w:t>
      </w:r>
    </w:p>
    <w:p w14:paraId="246B4889" w14:textId="54DE08DC" w:rsidR="00851781" w:rsidRDefault="00000000">
      <w:r>
        <w:rPr>
          <w:b/>
        </w:rPr>
        <w:t>Re-thinking Inquiry: What did inquiry look like when the instruments of knowing were themselves in dispute?</w:t>
      </w:r>
      <w:r w:rsidR="00550A28">
        <w:t xml:space="preserve"> </w:t>
      </w:r>
      <w:r>
        <w:t xml:space="preserve">The Renaissance mechanized the word while </w:t>
      </w:r>
      <w:r w:rsidR="000F11E8">
        <w:t xml:space="preserve">myriad </w:t>
      </w:r>
      <w:r w:rsidR="00B70F96">
        <w:t>phenomena</w:t>
      </w:r>
      <w:r>
        <w:t xml:space="preserve"> unsettled what people knew and whom they trusted. </w:t>
      </w:r>
      <w:r w:rsidR="00E413DC">
        <w:t xml:space="preserve">Meanwhile, people </w:t>
      </w:r>
      <w:r>
        <w:t xml:space="preserve">pursued inquiry </w:t>
      </w:r>
      <w:r w:rsidR="00E413DC">
        <w:t xml:space="preserve">via connected/collective means: </w:t>
      </w:r>
      <w:r>
        <w:t>correspondence, commonplace books, workshops, academies</w:t>
      </w:r>
      <w:r w:rsidR="00E413DC">
        <w:t xml:space="preserve">, </w:t>
      </w:r>
      <w:r>
        <w:t>playing companies</w:t>
      </w:r>
      <w:r w:rsidR="000F11E8">
        <w:t xml:space="preserve"> - </w:t>
      </w:r>
      <w:r>
        <w:t>bodies of knowledge in both senses</w:t>
      </w:r>
      <w:r w:rsidR="000F11E8">
        <w:t xml:space="preserve">. </w:t>
      </w:r>
      <w:r>
        <w:t xml:space="preserve">And </w:t>
      </w:r>
      <w:r w:rsidR="00FA6F43">
        <w:t xml:space="preserve">what about </w:t>
      </w:r>
      <w:r w:rsidR="00550A28">
        <w:t xml:space="preserve">inquiry and knowing </w:t>
      </w:r>
      <w:r>
        <w:t>today…?</w:t>
      </w:r>
    </w:p>
    <w:p w14:paraId="53DBD4C7" w14:textId="5ABC1A3D" w:rsidR="002946B6" w:rsidRDefault="00000000" w:rsidP="000F11E8">
      <w:r>
        <w:rPr>
          <w:b/>
        </w:rPr>
        <w:t xml:space="preserve">Re-visiting Connection &amp; Exchange: What </w:t>
      </w:r>
      <w:r w:rsidR="00550A28">
        <w:rPr>
          <w:b/>
        </w:rPr>
        <w:t xml:space="preserve">did and can </w:t>
      </w:r>
      <w:r>
        <w:rPr>
          <w:b/>
        </w:rPr>
        <w:t>scholars do in a room together that w</w:t>
      </w:r>
      <w:r w:rsidR="00E444F6">
        <w:rPr>
          <w:b/>
        </w:rPr>
        <w:t>e</w:t>
      </w:r>
      <w:r>
        <w:rPr>
          <w:b/>
        </w:rPr>
        <w:t xml:space="preserve"> can't do </w:t>
      </w:r>
      <w:r w:rsidR="00E444F6">
        <w:rPr>
          <w:b/>
        </w:rPr>
        <w:t>in isolation</w:t>
      </w:r>
      <w:r w:rsidR="002946B6">
        <w:rPr>
          <w:b/>
        </w:rPr>
        <w:t xml:space="preserve"> </w:t>
      </w:r>
      <w:r w:rsidR="00E444F6">
        <w:rPr>
          <w:b/>
        </w:rPr>
        <w:t>or online</w:t>
      </w:r>
      <w:r>
        <w:rPr>
          <w:b/>
        </w:rPr>
        <w:t>?</w:t>
      </w:r>
      <w:r w:rsidR="002946B6">
        <w:rPr>
          <w:b/>
        </w:rPr>
        <w:t xml:space="preserve"> </w:t>
      </w:r>
      <w:r w:rsidR="00550A28">
        <w:t xml:space="preserve"> Ours is another age of displacement</w:t>
      </w:r>
      <w:r w:rsidR="00E444F6">
        <w:t xml:space="preserve">, of machine learning, artifice: </w:t>
      </w:r>
      <w:r w:rsidR="00550A28">
        <w:t xml:space="preserve">are Renaissance literature and art </w:t>
      </w:r>
      <w:r w:rsidR="00E444F6">
        <w:t xml:space="preserve">still </w:t>
      </w:r>
      <w:r w:rsidR="00550A28">
        <w:t xml:space="preserve">resources of the human for our own times? What is the value of humans thinking with </w:t>
      </w:r>
      <w:r w:rsidR="00E444F6">
        <w:t>these works</w:t>
      </w:r>
      <w:r w:rsidR="00550A28">
        <w:t>, collectively</w:t>
      </w:r>
      <w:r w:rsidR="002946B6">
        <w:t xml:space="preserve">? </w:t>
      </w:r>
      <w:r w:rsidR="0002085B">
        <w:t>And s</w:t>
      </w:r>
      <w:r w:rsidR="002946B6">
        <w:t xml:space="preserve">hould such embodied collectivity be re-thought </w:t>
      </w:r>
      <w:r w:rsidR="0002085B">
        <w:t>given too-</w:t>
      </w:r>
      <w:r w:rsidR="002946B6">
        <w:t>often unequal access – to space</w:t>
      </w:r>
      <w:r w:rsidR="0002085B">
        <w:t>s</w:t>
      </w:r>
      <w:r w:rsidR="002946B6">
        <w:t>, across borders?</w:t>
      </w:r>
    </w:p>
    <w:p w14:paraId="0E97E1AE" w14:textId="0E14ED2F" w:rsidR="00851781" w:rsidRPr="000F11E8" w:rsidRDefault="00E444F6" w:rsidP="000F11E8">
      <w:r>
        <w:t xml:space="preserve"> </w:t>
      </w:r>
      <w:r w:rsidRPr="000F11E8">
        <w:rPr>
          <w:b/>
          <w:bCs/>
          <w:color w:val="1481AB" w:themeColor="accent1" w:themeShade="BF"/>
          <w:sz w:val="24"/>
          <w:szCs w:val="24"/>
        </w:rPr>
        <w:t>Questions</w:t>
      </w:r>
      <w:r w:rsidR="00E413DC" w:rsidRPr="000F11E8">
        <w:rPr>
          <w:b/>
          <w:bCs/>
          <w:color w:val="1481AB" w:themeColor="accent1" w:themeShade="BF"/>
          <w:sz w:val="24"/>
          <w:szCs w:val="24"/>
        </w:rPr>
        <w:t>, broad topics</w:t>
      </w:r>
      <w:r w:rsidRPr="000F11E8">
        <w:rPr>
          <w:b/>
          <w:bCs/>
          <w:color w:val="1481AB" w:themeColor="accent1" w:themeShade="BF"/>
          <w:sz w:val="24"/>
          <w:szCs w:val="24"/>
        </w:rPr>
        <w:t xml:space="preserve"> that could unfold from these ideas:</w:t>
      </w:r>
    </w:p>
    <w:p w14:paraId="306DB80F" w14:textId="110BD01C" w:rsidR="00851781" w:rsidRDefault="00000000">
      <w:r>
        <w:rPr>
          <w:b/>
        </w:rPr>
        <w:t>1. When instruments of knowing change, whom did/do people trust, and why?</w:t>
      </w:r>
    </w:p>
    <w:p w14:paraId="77E667FD" w14:textId="2794DE0A" w:rsidR="00851781" w:rsidRDefault="00000000">
      <w:r>
        <w:rPr>
          <w:b/>
        </w:rPr>
        <w:t>2. What does a body know that a page did/does not?</w:t>
      </w:r>
      <w:r w:rsidR="0002085B">
        <w:rPr>
          <w:b/>
        </w:rPr>
        <w:t xml:space="preserve"> </w:t>
      </w:r>
      <w:r w:rsidR="0002085B" w:rsidRPr="0002085B">
        <w:rPr>
          <w:b/>
        </w:rPr>
        <w:t xml:space="preserve">What carries knowledges of </w:t>
      </w:r>
      <w:r w:rsidR="0002085B" w:rsidRPr="0002085B">
        <w:rPr>
          <w:rFonts w:ascii="Aptos" w:hAnsi="Aptos"/>
          <w:b/>
          <w:color w:val="000000"/>
        </w:rPr>
        <w:t>cure, care, and disability</w:t>
      </w:r>
      <w:r w:rsidR="0002085B" w:rsidRPr="0002085B">
        <w:rPr>
          <w:rFonts w:ascii="Aptos" w:hAnsi="Aptos"/>
          <w:b/>
          <w:color w:val="000000"/>
        </w:rPr>
        <w:t>?</w:t>
      </w:r>
    </w:p>
    <w:p w14:paraId="2191930B" w14:textId="171A7430" w:rsidR="00851781" w:rsidRDefault="00000000">
      <w:r>
        <w:rPr>
          <w:b/>
        </w:rPr>
        <w:t>3. What do people still carry in person once the word could/can travel?</w:t>
      </w:r>
    </w:p>
    <w:p w14:paraId="68C2D812" w14:textId="1562B224" w:rsidR="00851781" w:rsidRDefault="00000000" w:rsidP="000F11E8">
      <w:pPr>
        <w:spacing w:line="240" w:lineRule="auto"/>
      </w:pPr>
      <w:r>
        <w:rPr>
          <w:b/>
        </w:rPr>
        <w:t xml:space="preserve">4. What does knowledge cost, </w:t>
      </w:r>
      <w:r w:rsidR="00FA6F43">
        <w:rPr>
          <w:b/>
        </w:rPr>
        <w:t>for</w:t>
      </w:r>
      <w:r>
        <w:rPr>
          <w:b/>
        </w:rPr>
        <w:t xml:space="preserve"> whom? What did Renaissance knowledge cost, </w:t>
      </w:r>
      <w:r w:rsidR="00FA6F43">
        <w:rPr>
          <w:b/>
        </w:rPr>
        <w:t>for</w:t>
      </w:r>
      <w:r>
        <w:rPr>
          <w:b/>
        </w:rPr>
        <w:t xml:space="preserve"> whom?</w:t>
      </w:r>
    </w:p>
    <w:p w14:paraId="2A10F2BF" w14:textId="77777777" w:rsidR="00B70F96" w:rsidRPr="00E413DC" w:rsidRDefault="00000000" w:rsidP="00B70F96">
      <w:pPr>
        <w:pStyle w:val="Heading1"/>
        <w:spacing w:line="240" w:lineRule="auto"/>
        <w:rPr>
          <w:sz w:val="24"/>
          <w:szCs w:val="24"/>
        </w:rPr>
      </w:pPr>
      <w:r w:rsidRPr="00E413DC">
        <w:rPr>
          <w:sz w:val="24"/>
          <w:szCs w:val="24"/>
        </w:rPr>
        <w:t>Formats</w:t>
      </w:r>
      <w:r w:rsidR="00B70F96">
        <w:rPr>
          <w:sz w:val="24"/>
          <w:szCs w:val="24"/>
        </w:rPr>
        <w:t xml:space="preserve"> &amp; </w:t>
      </w:r>
      <w:r w:rsidR="00B70F96" w:rsidRPr="00E413DC">
        <w:rPr>
          <w:sz w:val="24"/>
          <w:szCs w:val="24"/>
        </w:rPr>
        <w:t>Logistics</w:t>
      </w:r>
    </w:p>
    <w:p w14:paraId="5CCB2387" w14:textId="77FF8211" w:rsidR="00E8306F" w:rsidRDefault="00000000" w:rsidP="00E8306F">
      <w:pPr>
        <w:pStyle w:val="ListBullet"/>
      </w:pPr>
      <w:r w:rsidRPr="005C6D37">
        <w:rPr>
          <w:b/>
          <w:bCs/>
          <w:u w:val="single"/>
        </w:rPr>
        <w:t xml:space="preserve">Proposals of up to 250 words by </w:t>
      </w:r>
      <w:r w:rsidR="005C6D37" w:rsidRPr="005C6D37">
        <w:rPr>
          <w:b/>
          <w:bCs/>
          <w:u w:val="single"/>
        </w:rPr>
        <w:t xml:space="preserve">1 February </w:t>
      </w:r>
      <w:r w:rsidRPr="005C6D37">
        <w:rPr>
          <w:b/>
          <w:bCs/>
          <w:u w:val="single"/>
        </w:rPr>
        <w:t>202</w:t>
      </w:r>
      <w:r w:rsidR="005C6D37" w:rsidRPr="005C6D37">
        <w:rPr>
          <w:b/>
          <w:bCs/>
          <w:u w:val="single"/>
        </w:rPr>
        <w:t>7</w:t>
      </w:r>
      <w:r w:rsidRPr="005C6D37">
        <w:rPr>
          <w:b/>
          <w:bCs/>
          <w:u w:val="single"/>
        </w:rPr>
        <w:t>,</w:t>
      </w:r>
      <w:r>
        <w:t xml:space="preserve"> to </w:t>
      </w:r>
      <w:hyperlink r:id="rId8" w:history="1">
        <w:r w:rsidR="00E8306F" w:rsidRPr="00033C25">
          <w:rPr>
            <w:rStyle w:val="Hyperlink"/>
          </w:rPr>
          <w:t>pacific.northwest.rs@gmail.com</w:t>
        </w:r>
      </w:hyperlink>
      <w:r w:rsidR="00E8306F">
        <w:t xml:space="preserve">; </w:t>
      </w:r>
      <w:r w:rsidR="005C6D37">
        <w:t>e</w:t>
      </w:r>
      <w:r>
        <w:t>xtensions</w:t>
      </w:r>
      <w:r w:rsidR="00E413DC">
        <w:t xml:space="preserve"> </w:t>
      </w:r>
      <w:r>
        <w:t>available on request.</w:t>
      </w:r>
      <w:r w:rsidR="00E413DC">
        <w:t xml:space="preserve">  Interim inquiries are welcome, </w:t>
      </w:r>
      <w:r w:rsidR="00E8306F">
        <w:t>contact us at:</w:t>
      </w:r>
      <w:r w:rsidR="00E413DC" w:rsidRPr="00B70F96">
        <w:rPr>
          <w:color w:val="000000" w:themeColor="text1"/>
        </w:rPr>
        <w:t xml:space="preserve"> </w:t>
      </w:r>
      <w:hyperlink r:id="rId9" w:history="1">
        <w:r w:rsidR="00B70F96" w:rsidRPr="00B70F96">
          <w:rPr>
            <w:rStyle w:val="Hyperlink"/>
            <w:color w:val="000000" w:themeColor="text1"/>
          </w:rPr>
          <w:t>pacific.northwest.rs@gmail.com</w:t>
        </w:r>
      </w:hyperlink>
    </w:p>
    <w:p w14:paraId="1A3622DA" w14:textId="0ACF4316" w:rsidR="00B70F96" w:rsidRDefault="00B70F96" w:rsidP="00B70F96">
      <w:pPr>
        <w:pStyle w:val="ListBullet"/>
      </w:pPr>
      <w:r>
        <w:t>Formats are flexible</w:t>
      </w:r>
      <w:r w:rsidR="00E8306F">
        <w:t>: besides paper</w:t>
      </w:r>
      <w:r w:rsidR="002946B6">
        <w:t>s</w:t>
      </w:r>
      <w:r w:rsidR="00E8306F">
        <w:t xml:space="preserve"> and panel</w:t>
      </w:r>
      <w:r w:rsidR="002946B6">
        <w:t>s</w:t>
      </w:r>
      <w:r w:rsidR="00E8306F">
        <w:t xml:space="preserve"> we invite seminars, roundtables, disputations, another </w:t>
      </w:r>
      <w:r w:rsidR="002946B6">
        <w:t xml:space="preserve">proposed </w:t>
      </w:r>
      <w:r w:rsidR="00E8306F">
        <w:t>mode; in every format we’ll ask presenters how they built their argument</w:t>
      </w:r>
      <w:r>
        <w:t>. Sessions meet in person</w:t>
      </w:r>
      <w:r w:rsidR="002946B6">
        <w:t>.</w:t>
      </w:r>
    </w:p>
    <w:p w14:paraId="79BC400A" w14:textId="73BDD1D9" w:rsidR="00FA6F43" w:rsidRDefault="00FA6F43" w:rsidP="00B70F96">
      <w:pPr>
        <w:pStyle w:val="ListBullet"/>
      </w:pPr>
      <w:r>
        <w:t>Graduate student submissions are</w:t>
      </w:r>
      <w:r w:rsidR="00E413DC">
        <w:t xml:space="preserve"> invited and </w:t>
      </w:r>
      <w:r>
        <w:t>encouraged.</w:t>
      </w:r>
    </w:p>
    <w:p w14:paraId="301D0C69" w14:textId="626631A4" w:rsidR="00FA6F43" w:rsidRDefault="00FA6F43" w:rsidP="00FA6F43">
      <w:pPr>
        <w:pStyle w:val="ListBullet"/>
      </w:pPr>
      <w:r>
        <w:t>Any aspect of early modern Europe, c. 1300 to 1700, is welcome, in history, art history, music, religion, anthropology, medieval studies, global early modern and digital humanities.</w:t>
      </w:r>
    </w:p>
    <w:p w14:paraId="20229DC1" w14:textId="09FF39F9" w:rsidR="00851781" w:rsidRDefault="00550A28" w:rsidP="00B70F96">
      <w:pPr>
        <w:pStyle w:val="ListBullet"/>
      </w:pPr>
      <w:r>
        <w:t xml:space="preserve">Primary Organizers: Heather </w:t>
      </w:r>
      <w:r w:rsidR="005C6D37">
        <w:t xml:space="preserve">C. </w:t>
      </w:r>
      <w:r>
        <w:t>Easterling (Gonzaga University; President, PNRS), easterling@gonzaga.edu, and Michael Ullyot (University of Calgary; Vice-President, PNRS), ullyot@ucalgary.ca.</w:t>
      </w:r>
    </w:p>
    <w:sectPr w:rsidR="00851781" w:rsidSect="000F11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26CDB4" w14:textId="77777777" w:rsidR="00D5486B" w:rsidRDefault="00D5486B" w:rsidP="000F11E8">
      <w:pPr>
        <w:spacing w:after="0" w:line="240" w:lineRule="auto"/>
      </w:pPr>
      <w:r>
        <w:separator/>
      </w:r>
    </w:p>
  </w:endnote>
  <w:endnote w:type="continuationSeparator" w:id="0">
    <w:p w14:paraId="221DB0C3" w14:textId="77777777" w:rsidR="00D5486B" w:rsidRDefault="00D5486B" w:rsidP="000F1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2B7C05" w14:textId="77777777" w:rsidR="000F11E8" w:rsidRDefault="000F11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403B67" w14:textId="77777777" w:rsidR="000F11E8" w:rsidRDefault="000F11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B0B9D9" w14:textId="77777777" w:rsidR="000F11E8" w:rsidRDefault="000F11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B208C2" w14:textId="77777777" w:rsidR="00D5486B" w:rsidRDefault="00D5486B" w:rsidP="000F11E8">
      <w:pPr>
        <w:spacing w:after="0" w:line="240" w:lineRule="auto"/>
      </w:pPr>
      <w:r>
        <w:separator/>
      </w:r>
    </w:p>
  </w:footnote>
  <w:footnote w:type="continuationSeparator" w:id="0">
    <w:p w14:paraId="4EF4779A" w14:textId="77777777" w:rsidR="00D5486B" w:rsidRDefault="00D5486B" w:rsidP="000F1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29D5EE" w14:textId="77777777" w:rsidR="000F11E8" w:rsidRDefault="000F11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A38C96" w14:textId="77777777" w:rsidR="000F11E8" w:rsidRDefault="000F11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25E7B7" w14:textId="77777777" w:rsidR="000F11E8" w:rsidRDefault="000F11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215C55"/>
    <w:multiLevelType w:val="hybridMultilevel"/>
    <w:tmpl w:val="D806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E6B7B"/>
    <w:multiLevelType w:val="hybridMultilevel"/>
    <w:tmpl w:val="403E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C42ED"/>
    <w:multiLevelType w:val="hybridMultilevel"/>
    <w:tmpl w:val="70C48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E0EB1"/>
    <w:multiLevelType w:val="hybridMultilevel"/>
    <w:tmpl w:val="8B745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595187">
    <w:abstractNumId w:val="8"/>
  </w:num>
  <w:num w:numId="2" w16cid:durableId="1967469556">
    <w:abstractNumId w:val="6"/>
  </w:num>
  <w:num w:numId="3" w16cid:durableId="1516991">
    <w:abstractNumId w:val="5"/>
  </w:num>
  <w:num w:numId="4" w16cid:durableId="1896350572">
    <w:abstractNumId w:val="4"/>
  </w:num>
  <w:num w:numId="5" w16cid:durableId="1493370955">
    <w:abstractNumId w:val="7"/>
  </w:num>
  <w:num w:numId="6" w16cid:durableId="1910924619">
    <w:abstractNumId w:val="3"/>
  </w:num>
  <w:num w:numId="7" w16cid:durableId="646126749">
    <w:abstractNumId w:val="2"/>
  </w:num>
  <w:num w:numId="8" w16cid:durableId="1505248087">
    <w:abstractNumId w:val="1"/>
  </w:num>
  <w:num w:numId="9" w16cid:durableId="62802893">
    <w:abstractNumId w:val="0"/>
  </w:num>
  <w:num w:numId="10" w16cid:durableId="1285651554">
    <w:abstractNumId w:val="9"/>
  </w:num>
  <w:num w:numId="11" w16cid:durableId="1318459771">
    <w:abstractNumId w:val="11"/>
  </w:num>
  <w:num w:numId="12" w16cid:durableId="1728069387">
    <w:abstractNumId w:val="12"/>
  </w:num>
  <w:num w:numId="13" w16cid:durableId="188451888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5B"/>
    <w:rsid w:val="00034616"/>
    <w:rsid w:val="0006063C"/>
    <w:rsid w:val="000F11E8"/>
    <w:rsid w:val="0015074B"/>
    <w:rsid w:val="002946B6"/>
    <w:rsid w:val="0029639D"/>
    <w:rsid w:val="00326F90"/>
    <w:rsid w:val="0039616C"/>
    <w:rsid w:val="00550A28"/>
    <w:rsid w:val="005C6D37"/>
    <w:rsid w:val="00832FE1"/>
    <w:rsid w:val="00851781"/>
    <w:rsid w:val="00A1021E"/>
    <w:rsid w:val="00AA1D8D"/>
    <w:rsid w:val="00B3784C"/>
    <w:rsid w:val="00B47730"/>
    <w:rsid w:val="00B70F96"/>
    <w:rsid w:val="00CB0664"/>
    <w:rsid w:val="00D134E6"/>
    <w:rsid w:val="00D5486B"/>
    <w:rsid w:val="00E413DC"/>
    <w:rsid w:val="00E444F6"/>
    <w:rsid w:val="00E8306F"/>
    <w:rsid w:val="00FA6F43"/>
    <w:rsid w:val="00FC693F"/>
    <w:rsid w:val="00FF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F948A"/>
  <w14:defaultImageDpi w14:val="300"/>
  <w15:docId w15:val="{BE6D8FF9-7BA9-E949-9934-4548EB22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4356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264356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CADE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CADE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CADE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2683C6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2683C6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1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  <w:shd w:val="clear" w:color="auto" w:fill="C6EAF8" w:themeFill="accent1" w:themeFillTint="3F"/>
      </w:tcPr>
    </w:tblStylePr>
    <w:tblStylePr w:type="band2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1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  <w:shd w:val="clear" w:color="auto" w:fill="C5E0F4" w:themeFill="accent2" w:themeFillTint="3F"/>
      </w:tcPr>
    </w:tblStylePr>
    <w:tblStylePr w:type="band2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1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  <w:shd w:val="clear" w:color="auto" w:fill="C9F2F5" w:themeFill="accent3" w:themeFillTint="3F"/>
      </w:tcPr>
    </w:tblStylePr>
    <w:tblStylePr w:type="band2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1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  <w:shd w:val="clear" w:color="auto" w:fill="CFEEE5" w:themeFill="accent4" w:themeFillTint="3F"/>
      </w:tcPr>
    </w:tblStylePr>
    <w:tblStylePr w:type="band2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1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  <w:shd w:val="clear" w:color="auto" w:fill="C9E6D2" w:themeFill="accent5" w:themeFillTint="3F"/>
      </w:tcPr>
    </w:tblStylePr>
    <w:tblStylePr w:type="band2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1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  <w:shd w:val="clear" w:color="auto" w:fill="D8E8E7" w:themeFill="accent6" w:themeFillTint="3F"/>
      </w:tcPr>
    </w:tblStylePr>
    <w:tblStylePr w:type="band2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2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E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8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ADE4" w:themeColor="accen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shd w:val="clear" w:color="auto" w:fill="C6EAF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2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shd w:val="clear" w:color="auto" w:fill="C5E0F4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CED7" w:themeColor="accent3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shd w:val="clear" w:color="auto" w:fill="C9F2F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2BA97" w:themeColor="accent4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shd w:val="clear" w:color="auto" w:fill="CFEEE5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8853" w:themeColor="accent5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shd w:val="clear" w:color="auto" w:fill="C9E6D2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A39F" w:themeColor="accent6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shd w:val="clear" w:color="auto" w:fill="D8E8E7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ADE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CADE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ADE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CADE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A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683C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7CED7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CED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CED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2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2BA9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BA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2BA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E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E885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85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E885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2A39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A39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A39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8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  <w:insideV w:val="single" w:sz="8" w:space="0" w:color="54C1EA" w:themeColor="accent1" w:themeTint="BF"/>
      </w:tblBorders>
    </w:tblPr>
    <w:tcPr>
      <w:shd w:val="clear" w:color="auto" w:fill="C6EA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C1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  <w:insideV w:val="single" w:sz="8" w:space="0" w:color="52A3DE" w:themeColor="accent2" w:themeTint="BF"/>
      </w:tblBorders>
    </w:tblPr>
    <w:tcPr>
      <w:shd w:val="clear" w:color="auto" w:fill="C5E0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  <w:insideV w:val="single" w:sz="8" w:space="0" w:color="5CDAE1" w:themeColor="accent3" w:themeTint="BF"/>
      </w:tblBorders>
    </w:tblPr>
    <w:tcPr>
      <w:shd w:val="clear" w:color="auto" w:fill="C9F2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DAE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  <w:insideV w:val="single" w:sz="8" w:space="0" w:color="70CCB1" w:themeColor="accent4" w:themeTint="BF"/>
      </w:tblBorders>
    </w:tblPr>
    <w:tcPr>
      <w:shd w:val="clear" w:color="auto" w:fill="CFEE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CCB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  <w:insideV w:val="single" w:sz="8" w:space="0" w:color="5EB576" w:themeColor="accent5" w:themeTint="BF"/>
      </w:tblBorders>
    </w:tblPr>
    <w:tcPr>
      <w:shd w:val="clear" w:color="auto" w:fill="C9E6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57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  <w:insideV w:val="single" w:sz="8" w:space="0" w:color="89BAB7" w:themeColor="accent6" w:themeTint="BF"/>
      </w:tblBorders>
    </w:tblPr>
    <w:tcPr>
      <w:shd w:val="clear" w:color="auto" w:fill="D8E8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A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cPr>
      <w:shd w:val="clear" w:color="auto" w:fill="C6EA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F9" w:themeFill="accent1" w:themeFillTint="33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tcBorders>
          <w:insideH w:val="single" w:sz="6" w:space="0" w:color="1CADE4" w:themeColor="accent1"/>
          <w:insideV w:val="single" w:sz="6" w:space="0" w:color="1CADE4" w:themeColor="accent1"/>
        </w:tcBorders>
        <w:shd w:val="clear" w:color="auto" w:fill="8DD5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cPr>
      <w:shd w:val="clear" w:color="auto" w:fill="C5E0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2" w:themeFillTint="33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tcBorders>
          <w:insideH w:val="single" w:sz="6" w:space="0" w:color="2683C6" w:themeColor="accent2"/>
          <w:insideV w:val="single" w:sz="6" w:space="0" w:color="2683C6" w:themeColor="accent2"/>
        </w:tcBorders>
        <w:shd w:val="clear" w:color="auto" w:fill="8CC2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cPr>
      <w:shd w:val="clear" w:color="auto" w:fill="C9F2F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A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5F7" w:themeFill="accent3" w:themeFillTint="33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tcBorders>
          <w:insideH w:val="single" w:sz="6" w:space="0" w:color="27CED7" w:themeColor="accent3"/>
          <w:insideV w:val="single" w:sz="6" w:space="0" w:color="27CED7" w:themeColor="accent3"/>
        </w:tcBorders>
        <w:shd w:val="clear" w:color="auto" w:fill="92E6E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cPr>
      <w:shd w:val="clear" w:color="auto" w:fill="CFEE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4" w:themeFillTint="33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tcBorders>
          <w:insideH w:val="single" w:sz="6" w:space="0" w:color="42BA97" w:themeColor="accent4"/>
          <w:insideV w:val="single" w:sz="6" w:space="0" w:color="42BA97" w:themeColor="accent4"/>
        </w:tcBorders>
        <w:shd w:val="clear" w:color="auto" w:fill="A0DD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cPr>
      <w:shd w:val="clear" w:color="auto" w:fill="C9E6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5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DA" w:themeFill="accent5" w:themeFillTint="33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tcBorders>
          <w:insideH w:val="single" w:sz="6" w:space="0" w:color="3E8853" w:themeColor="accent5"/>
          <w:insideV w:val="single" w:sz="6" w:space="0" w:color="3E8853" w:themeColor="accent5"/>
        </w:tcBorders>
        <w:shd w:val="clear" w:color="auto" w:fill="94CE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cPr>
      <w:shd w:val="clear" w:color="auto" w:fill="D8E8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FF6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CEB" w:themeFill="accent6" w:themeFillTint="33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tcBorders>
          <w:insideH w:val="single" w:sz="6" w:space="0" w:color="62A39F" w:themeColor="accent6"/>
          <w:insideV w:val="single" w:sz="6" w:space="0" w:color="62A39F" w:themeColor="accent6"/>
        </w:tcBorders>
        <w:shd w:val="clear" w:color="auto" w:fill="B0D1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A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5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5F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2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E6E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E6EB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EE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D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DCB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6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E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EA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8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1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1CF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57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81A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666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99A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C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B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32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653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51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7B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67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6788" w:themeColor="accent1" w:themeShade="99"/>
          <w:insideV w:val="nil"/>
        </w:tcBorders>
        <w:shd w:val="clear" w:color="auto" w:fill="1067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788" w:themeFill="accent1" w:themeFillShade="99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8DD5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2" w:themeShade="99"/>
          <w:insideV w:val="nil"/>
        </w:tcBorders>
        <w:shd w:val="clear" w:color="auto" w:fill="164E7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2" w:themeFillShade="99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8CC2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2BA97" w:themeColor="accent4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A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77B8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77B80" w:themeColor="accent3" w:themeShade="99"/>
          <w:insideV w:val="nil"/>
        </w:tcBorders>
        <w:shd w:val="clear" w:color="auto" w:fill="177B8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7B80" w:themeFill="accent3" w:themeFillShade="99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CED7" w:themeColor="accent3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F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F5A" w:themeColor="accent4" w:themeShade="99"/>
          <w:insideV w:val="nil"/>
        </w:tcBorders>
        <w:shd w:val="clear" w:color="auto" w:fill="276F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F5A" w:themeFill="accent4" w:themeFillShade="99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A0DD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A39F" w:themeColor="accent6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1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131" w:themeColor="accent5" w:themeShade="99"/>
          <w:insideV w:val="nil"/>
        </w:tcBorders>
        <w:shd w:val="clear" w:color="auto" w:fill="2551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131" w:themeFill="accent5" w:themeFillShade="99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94CE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8853" w:themeColor="accent5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62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625F" w:themeColor="accent6" w:themeShade="99"/>
          <w:insideV w:val="nil"/>
        </w:tcBorders>
        <w:shd w:val="clear" w:color="auto" w:fill="3962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25F" w:themeFill="accent6" w:themeFillShade="99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B0D1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A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478" w:themeFill="accent4" w:themeFillShade="CC"/>
      </w:tcPr>
    </w:tblStylePr>
    <w:tblStylePr w:type="lastRow">
      <w:rPr>
        <w:b/>
        <w:bCs/>
        <w:color w:val="3494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FA3AB" w:themeFill="accent3" w:themeFillShade="CC"/>
      </w:tcPr>
    </w:tblStylePr>
    <w:tblStylePr w:type="lastRow">
      <w:rPr>
        <w:b/>
        <w:bCs/>
        <w:color w:val="1FA3A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5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8380" w:themeFill="accent6" w:themeFillShade="CC"/>
      </w:tcPr>
    </w:tblStylePr>
    <w:tblStylePr w:type="lastRow">
      <w:rPr>
        <w:b/>
        <w:bCs/>
        <w:color w:val="4D838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6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6C42" w:themeFill="accent5" w:themeFillShade="CC"/>
      </w:tcPr>
    </w:tblStylePr>
    <w:tblStylePr w:type="lastRow">
      <w:rPr>
        <w:b/>
        <w:bCs/>
        <w:color w:val="316C4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</w:rPr>
      <w:tblPr/>
      <w:tcPr>
        <w:shd w:val="clear" w:color="auto" w:fill="A4DDF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DDF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</w:rPr>
      <w:tblPr/>
      <w:tcPr>
        <w:shd w:val="clear" w:color="auto" w:fill="A3CE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</w:rPr>
      <w:tblPr/>
      <w:tcPr>
        <w:shd w:val="clear" w:color="auto" w:fill="A8EBE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B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</w:rPr>
      <w:tblPr/>
      <w:tcPr>
        <w:shd w:val="clear" w:color="auto" w:fill="B2E4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4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</w:rPr>
      <w:tblPr/>
      <w:tcPr>
        <w:shd w:val="clear" w:color="auto" w:fill="A9D7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7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</w:rPr>
      <w:tblPr/>
      <w:tcPr>
        <w:shd w:val="clear" w:color="auto" w:fill="C0DA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A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70F96"/>
    <w:rPr>
      <w:color w:val="6EAC1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cific.northwest.rs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cific.northwest.rs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Heather Easterling Ritchie</cp:lastModifiedBy>
  <cp:revision>4</cp:revision>
  <dcterms:created xsi:type="dcterms:W3CDTF">2026-10-28T05:32:00Z</dcterms:created>
  <dcterms:modified xsi:type="dcterms:W3CDTF">2026-10-30T21:37:00Z</dcterms:modified>
  <cp:category/>
</cp:coreProperties>
</file>