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18DC" w14:textId="77777777" w:rsidR="003674A4" w:rsidRDefault="003674A4" w:rsidP="00E3535E">
      <w:pPr>
        <w:rPr>
          <w:rFonts w:ascii="Century Schoolbook" w:hAnsi="Century Schoolbook"/>
        </w:rPr>
      </w:pPr>
    </w:p>
    <w:p w14:paraId="785D7970" w14:textId="77777777" w:rsidR="003674A4" w:rsidRDefault="003674A4" w:rsidP="00AB3571">
      <w:pPr>
        <w:jc w:val="center"/>
        <w:rPr>
          <w:rFonts w:ascii="Century Schoolbook" w:hAnsi="Century Schoolbook"/>
        </w:rPr>
      </w:pPr>
    </w:p>
    <w:p w14:paraId="14C5C073" w14:textId="6FDC7ABC" w:rsidR="00E12054" w:rsidRDefault="002B32A6" w:rsidP="00AB3571">
      <w:pPr>
        <w:jc w:val="center"/>
        <w:rPr>
          <w:rFonts w:ascii="Century Schoolbook" w:hAnsi="Century Schoolbook"/>
        </w:rPr>
      </w:pPr>
      <w:r>
        <w:rPr>
          <w:rFonts w:ascii="Century Schoolbook" w:hAnsi="Century Schoolbook"/>
        </w:rPr>
        <w:t>BRUTON</w:t>
      </w:r>
      <w:r w:rsidR="001F5D61">
        <w:rPr>
          <w:rFonts w:ascii="Century Schoolbook" w:hAnsi="Century Schoolbook"/>
        </w:rPr>
        <w:t>;</w:t>
      </w:r>
      <w:r>
        <w:rPr>
          <w:rFonts w:ascii="Century Schoolbook" w:hAnsi="Century Schoolbook"/>
        </w:rPr>
        <w:t xml:space="preserve"> </w:t>
      </w:r>
      <w:r w:rsidR="001F5D61">
        <w:rPr>
          <w:rFonts w:ascii="Century Schoolbook" w:hAnsi="Century Schoolbook"/>
        </w:rPr>
        <w:t xml:space="preserve">CONFRONTATION CLAUSE; REVISITING </w:t>
      </w:r>
      <w:r w:rsidR="00310173">
        <w:rPr>
          <w:rFonts w:ascii="Century Schoolbook" w:hAnsi="Century Schoolbook"/>
        </w:rPr>
        <w:t>AGGARAVATING FACTORS</w:t>
      </w:r>
    </w:p>
    <w:p w14:paraId="3226B2D1" w14:textId="11A6D95D" w:rsidR="00AB3571" w:rsidRDefault="00AB3571" w:rsidP="00AB3571">
      <w:pPr>
        <w:jc w:val="center"/>
        <w:rPr>
          <w:rFonts w:ascii="Century Schoolbook" w:hAnsi="Century Schoolbook"/>
        </w:rPr>
      </w:pPr>
    </w:p>
    <w:p w14:paraId="48ED8BAB" w14:textId="5C13F284" w:rsidR="00AB3571" w:rsidRDefault="00AB3571" w:rsidP="00AB3571">
      <w:pPr>
        <w:jc w:val="center"/>
        <w:rPr>
          <w:rFonts w:ascii="Century Schoolbook" w:hAnsi="Century Schoolbook"/>
        </w:rPr>
      </w:pPr>
    </w:p>
    <w:p w14:paraId="044B922A" w14:textId="6233116C" w:rsidR="00AB3571" w:rsidRDefault="00AB3571" w:rsidP="00AB3571">
      <w:pPr>
        <w:jc w:val="center"/>
        <w:rPr>
          <w:rFonts w:ascii="Century Schoolbook" w:hAnsi="Century Schoolbook"/>
        </w:rPr>
      </w:pPr>
    </w:p>
    <w:p w14:paraId="5C3056F7" w14:textId="45852FCD" w:rsidR="00AB3571" w:rsidRDefault="00AB3571" w:rsidP="00AB3571">
      <w:pPr>
        <w:jc w:val="center"/>
        <w:rPr>
          <w:rFonts w:ascii="Century Schoolbook" w:hAnsi="Century Schoolbook"/>
        </w:rPr>
      </w:pPr>
    </w:p>
    <w:p w14:paraId="21879ECC" w14:textId="6AE3AAFC" w:rsidR="00AB3571" w:rsidRDefault="00AB3571" w:rsidP="00AB3571">
      <w:pPr>
        <w:jc w:val="center"/>
        <w:rPr>
          <w:rFonts w:ascii="Century Schoolbook" w:hAnsi="Century Schoolbook"/>
        </w:rPr>
      </w:pPr>
    </w:p>
    <w:p w14:paraId="3B236C33" w14:textId="58FAB4AC" w:rsidR="00AB3571" w:rsidRDefault="00AB3571" w:rsidP="00AB3571">
      <w:pPr>
        <w:jc w:val="center"/>
        <w:rPr>
          <w:rFonts w:ascii="Century Schoolbook" w:hAnsi="Century Schoolbook"/>
        </w:rPr>
      </w:pPr>
    </w:p>
    <w:p w14:paraId="24F203A7" w14:textId="7382D6FC" w:rsidR="00AB3571" w:rsidRDefault="00AB3571" w:rsidP="00AB3571">
      <w:pPr>
        <w:jc w:val="center"/>
        <w:rPr>
          <w:rFonts w:ascii="Century Schoolbook" w:hAnsi="Century Schoolbook"/>
        </w:rPr>
      </w:pPr>
    </w:p>
    <w:p w14:paraId="7D7E8006" w14:textId="79025765" w:rsidR="00AB3571" w:rsidRDefault="00AB3571" w:rsidP="00340D5F">
      <w:pPr>
        <w:jc w:val="center"/>
        <w:rPr>
          <w:rFonts w:ascii="Century Schoolbook" w:hAnsi="Century Schoolbook"/>
        </w:rPr>
      </w:pPr>
    </w:p>
    <w:p w14:paraId="69DFA936" w14:textId="446B6FA2" w:rsidR="00AB3571" w:rsidRDefault="00AB3571" w:rsidP="00340D5F">
      <w:pPr>
        <w:jc w:val="center"/>
        <w:rPr>
          <w:rFonts w:ascii="Century Schoolbook" w:hAnsi="Century Schoolbook"/>
        </w:rPr>
      </w:pPr>
    </w:p>
    <w:p w14:paraId="68A66CB8" w14:textId="3BB95AFA" w:rsidR="00AB3571" w:rsidRDefault="00AB3571" w:rsidP="00340D5F">
      <w:pPr>
        <w:jc w:val="center"/>
        <w:rPr>
          <w:rFonts w:ascii="Century Schoolbook" w:hAnsi="Century Schoolbook"/>
        </w:rPr>
      </w:pPr>
      <w:r>
        <w:rPr>
          <w:rFonts w:ascii="Century Schoolbook" w:hAnsi="Century Schoolbook"/>
        </w:rPr>
        <w:t xml:space="preserve">WAKE COUNTY ACADEMY OF </w:t>
      </w:r>
      <w:r w:rsidR="002C36CE">
        <w:rPr>
          <w:rFonts w:ascii="Century Schoolbook" w:hAnsi="Century Schoolbook"/>
        </w:rPr>
        <w:t>CRIMINAL TRIAL LAWYERS</w:t>
      </w:r>
    </w:p>
    <w:p w14:paraId="50E3F339" w14:textId="5AC44F67" w:rsidR="00C148F7" w:rsidRDefault="00C148F7" w:rsidP="00340D5F">
      <w:pPr>
        <w:jc w:val="center"/>
        <w:rPr>
          <w:rFonts w:ascii="Century Schoolbook" w:hAnsi="Century Schoolbook"/>
        </w:rPr>
      </w:pPr>
      <w:r>
        <w:rPr>
          <w:rFonts w:ascii="Century Schoolbook" w:hAnsi="Century Schoolbook"/>
        </w:rPr>
        <w:t>CONTINUING LEGAL EDUCATION</w:t>
      </w:r>
    </w:p>
    <w:p w14:paraId="06CF965B" w14:textId="64C7D282" w:rsidR="002C36CE" w:rsidRDefault="002C36CE" w:rsidP="00340D5F">
      <w:pPr>
        <w:jc w:val="center"/>
        <w:rPr>
          <w:rFonts w:ascii="Century Schoolbook" w:hAnsi="Century Schoolbook"/>
        </w:rPr>
      </w:pPr>
    </w:p>
    <w:p w14:paraId="60E3C0EE" w14:textId="66409B86" w:rsidR="002C36CE" w:rsidRDefault="002C36CE" w:rsidP="00340D5F">
      <w:pPr>
        <w:jc w:val="center"/>
        <w:rPr>
          <w:rFonts w:ascii="Century Schoolbook" w:hAnsi="Century Schoolbook"/>
        </w:rPr>
      </w:pPr>
      <w:r>
        <w:rPr>
          <w:rFonts w:ascii="Century Schoolbook" w:hAnsi="Century Schoolbook"/>
        </w:rPr>
        <w:t>OCTOBER 14, 2022</w:t>
      </w:r>
    </w:p>
    <w:p w14:paraId="579B5EF0" w14:textId="7E95EF4E" w:rsidR="002C36CE" w:rsidRDefault="002C36CE" w:rsidP="00340D5F">
      <w:pPr>
        <w:jc w:val="center"/>
        <w:rPr>
          <w:rFonts w:ascii="Century Schoolbook" w:hAnsi="Century Schoolbook"/>
        </w:rPr>
      </w:pPr>
    </w:p>
    <w:p w14:paraId="590A8689" w14:textId="53F8A70C" w:rsidR="002C36CE" w:rsidRDefault="002C36CE" w:rsidP="00340D5F">
      <w:pPr>
        <w:tabs>
          <w:tab w:val="left" w:pos="3867"/>
        </w:tabs>
        <w:jc w:val="center"/>
        <w:rPr>
          <w:rFonts w:ascii="Century Schoolbook" w:hAnsi="Century Schoolbook"/>
        </w:rPr>
      </w:pPr>
    </w:p>
    <w:p w14:paraId="71324293" w14:textId="3031038E" w:rsidR="00340D5F" w:rsidRDefault="00340D5F" w:rsidP="00340D5F">
      <w:pPr>
        <w:tabs>
          <w:tab w:val="left" w:pos="3867"/>
        </w:tabs>
        <w:rPr>
          <w:rFonts w:ascii="Century Schoolbook" w:hAnsi="Century Schoolbook"/>
        </w:rPr>
      </w:pPr>
    </w:p>
    <w:p w14:paraId="636225B1" w14:textId="474CDF9A" w:rsidR="00340D5F" w:rsidRDefault="00340D5F" w:rsidP="00340D5F">
      <w:pPr>
        <w:tabs>
          <w:tab w:val="left" w:pos="3867"/>
        </w:tabs>
        <w:rPr>
          <w:rFonts w:ascii="Century Schoolbook" w:hAnsi="Century Schoolbook"/>
        </w:rPr>
      </w:pPr>
    </w:p>
    <w:p w14:paraId="6B2AEACA" w14:textId="687E2B09" w:rsidR="00340D5F" w:rsidRDefault="00340D5F" w:rsidP="00340D5F">
      <w:pPr>
        <w:tabs>
          <w:tab w:val="left" w:pos="3867"/>
        </w:tabs>
        <w:rPr>
          <w:rFonts w:ascii="Century Schoolbook" w:hAnsi="Century Schoolbook"/>
        </w:rPr>
      </w:pPr>
    </w:p>
    <w:p w14:paraId="4B45E896" w14:textId="77777777" w:rsidR="00340D5F" w:rsidRDefault="00340D5F" w:rsidP="00340D5F">
      <w:pPr>
        <w:tabs>
          <w:tab w:val="left" w:pos="3867"/>
        </w:tabs>
        <w:rPr>
          <w:rFonts w:ascii="Century Schoolbook" w:hAnsi="Century Schoolbook"/>
        </w:rPr>
      </w:pPr>
    </w:p>
    <w:p w14:paraId="132C21BA" w14:textId="1F168F4D" w:rsidR="002C36CE" w:rsidRDefault="002C36CE" w:rsidP="00AB3571">
      <w:pPr>
        <w:jc w:val="center"/>
        <w:rPr>
          <w:rFonts w:ascii="Century Schoolbook" w:hAnsi="Century Schoolbook"/>
        </w:rPr>
      </w:pPr>
    </w:p>
    <w:p w14:paraId="3F842F53" w14:textId="24B4D7D4" w:rsidR="002C36CE" w:rsidRDefault="002C36CE" w:rsidP="00AB3571">
      <w:pPr>
        <w:jc w:val="center"/>
        <w:rPr>
          <w:rFonts w:ascii="Century Schoolbook" w:hAnsi="Century Schoolbook"/>
        </w:rPr>
      </w:pPr>
      <w:r>
        <w:rPr>
          <w:rFonts w:ascii="Century Schoolbook" w:hAnsi="Century Schoolbook"/>
        </w:rPr>
        <w:t>PRESENTED BY:</w:t>
      </w:r>
    </w:p>
    <w:p w14:paraId="48C89417" w14:textId="51E61969" w:rsidR="002C36CE" w:rsidRDefault="002C36CE" w:rsidP="00AB3571">
      <w:pPr>
        <w:jc w:val="center"/>
        <w:rPr>
          <w:rFonts w:ascii="Century Schoolbook" w:hAnsi="Century Schoolbook"/>
        </w:rPr>
      </w:pPr>
    </w:p>
    <w:p w14:paraId="0369AFEF" w14:textId="75387B50" w:rsidR="002C36CE" w:rsidRDefault="002C36CE" w:rsidP="00AB3571">
      <w:pPr>
        <w:jc w:val="center"/>
        <w:rPr>
          <w:rFonts w:ascii="Century Schoolbook" w:hAnsi="Century Schoolbook"/>
        </w:rPr>
      </w:pPr>
      <w:r>
        <w:rPr>
          <w:rFonts w:ascii="Century Schoolbook" w:hAnsi="Century Schoolbook"/>
        </w:rPr>
        <w:t>JOHN McWILLIAM</w:t>
      </w:r>
    </w:p>
    <w:p w14:paraId="12DFB2A3" w14:textId="2AD4D362" w:rsidR="00D9162A" w:rsidRDefault="00D9162A" w:rsidP="00AB3571">
      <w:pPr>
        <w:jc w:val="center"/>
        <w:rPr>
          <w:rFonts w:ascii="Century Schoolbook" w:hAnsi="Century Schoolbook"/>
        </w:rPr>
      </w:pPr>
    </w:p>
    <w:p w14:paraId="41BE2AF9" w14:textId="37835A2A" w:rsidR="00D9162A" w:rsidRDefault="00D9162A" w:rsidP="00AB3571">
      <w:pPr>
        <w:jc w:val="center"/>
        <w:rPr>
          <w:rFonts w:ascii="Century Schoolbook" w:hAnsi="Century Schoolbook"/>
        </w:rPr>
      </w:pPr>
    </w:p>
    <w:p w14:paraId="4526D094" w14:textId="7D1C9700" w:rsidR="00D9162A" w:rsidRDefault="00D9162A" w:rsidP="00AB3571">
      <w:pPr>
        <w:jc w:val="center"/>
        <w:rPr>
          <w:rFonts w:ascii="Century Schoolbook" w:hAnsi="Century Schoolbook"/>
        </w:rPr>
      </w:pPr>
    </w:p>
    <w:p w14:paraId="4CD9E804" w14:textId="5EA6B599" w:rsidR="00D9162A" w:rsidRDefault="00D9162A" w:rsidP="00AB3571">
      <w:pPr>
        <w:jc w:val="center"/>
        <w:rPr>
          <w:rFonts w:ascii="Century Schoolbook" w:hAnsi="Century Schoolbook"/>
        </w:rPr>
      </w:pPr>
    </w:p>
    <w:p w14:paraId="3C9187BF" w14:textId="36118A12" w:rsidR="00D9162A" w:rsidRDefault="00D9162A" w:rsidP="00AB3571">
      <w:pPr>
        <w:jc w:val="center"/>
        <w:rPr>
          <w:rFonts w:ascii="Century Schoolbook" w:hAnsi="Century Schoolbook"/>
        </w:rPr>
      </w:pPr>
    </w:p>
    <w:p w14:paraId="59EAACA7" w14:textId="1AEE73E3" w:rsidR="00D9162A" w:rsidRDefault="00D9162A" w:rsidP="00AB3571">
      <w:pPr>
        <w:jc w:val="center"/>
        <w:rPr>
          <w:rFonts w:ascii="Century Schoolbook" w:hAnsi="Century Schoolbook"/>
        </w:rPr>
      </w:pPr>
    </w:p>
    <w:p w14:paraId="48E0908C" w14:textId="6A1636D4" w:rsidR="00D9162A" w:rsidRDefault="00D9162A" w:rsidP="00AB3571">
      <w:pPr>
        <w:jc w:val="center"/>
        <w:rPr>
          <w:rFonts w:ascii="Century Schoolbook" w:hAnsi="Century Schoolbook"/>
        </w:rPr>
      </w:pPr>
    </w:p>
    <w:p w14:paraId="71425966" w14:textId="196C9DF6" w:rsidR="00D9162A" w:rsidRDefault="00D9162A" w:rsidP="00AB3571">
      <w:pPr>
        <w:jc w:val="center"/>
        <w:rPr>
          <w:rFonts w:ascii="Century Schoolbook" w:hAnsi="Century Schoolbook"/>
        </w:rPr>
      </w:pPr>
    </w:p>
    <w:p w14:paraId="1AF9FF63" w14:textId="4F44F3AD" w:rsidR="00D9162A" w:rsidRDefault="00D9162A" w:rsidP="00D9162A">
      <w:pPr>
        <w:jc w:val="center"/>
        <w:rPr>
          <w:rFonts w:ascii="Century Schoolbook" w:hAnsi="Century Schoolbook"/>
        </w:rPr>
      </w:pPr>
    </w:p>
    <w:p w14:paraId="23450C44" w14:textId="2AF44D11" w:rsidR="00E3535E" w:rsidRDefault="00E3535E" w:rsidP="00D9162A">
      <w:pPr>
        <w:jc w:val="center"/>
        <w:rPr>
          <w:rFonts w:ascii="Century Schoolbook" w:hAnsi="Century Schoolbook"/>
        </w:rPr>
      </w:pPr>
    </w:p>
    <w:p w14:paraId="793D6023" w14:textId="429E0C2F" w:rsidR="00E3535E" w:rsidRDefault="00E3535E" w:rsidP="00D9162A">
      <w:pPr>
        <w:jc w:val="center"/>
        <w:rPr>
          <w:rFonts w:ascii="Century Schoolbook" w:hAnsi="Century Schoolbook"/>
        </w:rPr>
      </w:pPr>
    </w:p>
    <w:p w14:paraId="44464F73" w14:textId="5862C997" w:rsidR="00E3535E" w:rsidRDefault="00E3535E" w:rsidP="00D9162A">
      <w:pPr>
        <w:jc w:val="center"/>
        <w:rPr>
          <w:rFonts w:ascii="Century Schoolbook" w:hAnsi="Century Schoolbook"/>
        </w:rPr>
      </w:pPr>
    </w:p>
    <w:p w14:paraId="60DC8563" w14:textId="77777777" w:rsidR="00E3535E" w:rsidRDefault="00E3535E" w:rsidP="00D9162A">
      <w:pPr>
        <w:jc w:val="center"/>
        <w:rPr>
          <w:rFonts w:ascii="Century Schoolbook" w:hAnsi="Century Schoolbook"/>
        </w:rPr>
      </w:pPr>
    </w:p>
    <w:p w14:paraId="6AB03FD3" w14:textId="068D5FD7" w:rsidR="00D9162A" w:rsidRDefault="00D9162A" w:rsidP="00E3535E">
      <w:pPr>
        <w:rPr>
          <w:rFonts w:ascii="Century Schoolbook" w:hAnsi="Century Schoolbook"/>
        </w:rPr>
      </w:pPr>
    </w:p>
    <w:p w14:paraId="78A27AF1" w14:textId="0C536677" w:rsidR="00D9162A" w:rsidRDefault="00D9162A" w:rsidP="00D9162A">
      <w:pPr>
        <w:jc w:val="center"/>
        <w:rPr>
          <w:rFonts w:ascii="Century Schoolbook" w:hAnsi="Century Schoolbook"/>
        </w:rPr>
      </w:pPr>
    </w:p>
    <w:p w14:paraId="768EA0E5" w14:textId="58BF5DD6" w:rsidR="00D9162A" w:rsidRDefault="00D9162A" w:rsidP="00D9162A">
      <w:pPr>
        <w:jc w:val="center"/>
        <w:rPr>
          <w:rFonts w:ascii="Century Schoolbook" w:hAnsi="Century Schoolbook"/>
        </w:rPr>
      </w:pPr>
    </w:p>
    <w:p w14:paraId="2EC6B60A" w14:textId="2A657C0E" w:rsidR="00D9162A" w:rsidRDefault="00D9162A" w:rsidP="00D9162A">
      <w:pPr>
        <w:jc w:val="center"/>
        <w:rPr>
          <w:rFonts w:ascii="Century Schoolbook" w:hAnsi="Century Schoolbook"/>
        </w:rPr>
      </w:pPr>
    </w:p>
    <w:p w14:paraId="1254E1B5" w14:textId="3825FEE8" w:rsidR="00D9162A" w:rsidRDefault="008531E5" w:rsidP="004258D0">
      <w:pPr>
        <w:jc w:val="center"/>
        <w:rPr>
          <w:rFonts w:ascii="Century Schoolbook" w:hAnsi="Century Schoolbook"/>
        </w:rPr>
      </w:pPr>
      <w:r>
        <w:rPr>
          <w:rFonts w:ascii="Century Schoolbook" w:hAnsi="Century Schoolbook"/>
        </w:rPr>
        <w:lastRenderedPageBreak/>
        <w:t xml:space="preserve">BRUTON v. UNITED STATES, </w:t>
      </w:r>
      <w:r w:rsidR="004258D0">
        <w:rPr>
          <w:rFonts w:ascii="Century Schoolbook" w:hAnsi="Century Schoolbook"/>
        </w:rPr>
        <w:t>391 U.S. 123 (1968)</w:t>
      </w:r>
    </w:p>
    <w:p w14:paraId="24B0DD14" w14:textId="301E1717" w:rsidR="004258D0" w:rsidRDefault="004258D0" w:rsidP="004258D0">
      <w:pPr>
        <w:jc w:val="center"/>
        <w:rPr>
          <w:rFonts w:ascii="Century Schoolbook" w:hAnsi="Century Schoolbook"/>
        </w:rPr>
      </w:pPr>
    </w:p>
    <w:p w14:paraId="0D68AA7F" w14:textId="03617526" w:rsidR="004258D0" w:rsidRDefault="004258D0" w:rsidP="004258D0">
      <w:pPr>
        <w:jc w:val="center"/>
        <w:rPr>
          <w:rFonts w:ascii="Century Schoolbook" w:hAnsi="Century Schoolbook"/>
        </w:rPr>
      </w:pPr>
    </w:p>
    <w:p w14:paraId="4CD7F052" w14:textId="6681ED77" w:rsidR="004258D0" w:rsidRDefault="00965F6E" w:rsidP="00E3535E">
      <w:pPr>
        <w:spacing w:line="480" w:lineRule="auto"/>
        <w:jc w:val="both"/>
        <w:rPr>
          <w:rFonts w:ascii="Century Schoolbook" w:hAnsi="Century Schoolbook"/>
        </w:rPr>
      </w:pPr>
      <w:r>
        <w:rPr>
          <w:rFonts w:ascii="Century Schoolbook" w:hAnsi="Century Schoolbook"/>
        </w:rPr>
        <w:t xml:space="preserve">The Sixth Amendment to the </w:t>
      </w:r>
      <w:r w:rsidR="00395F7F">
        <w:rPr>
          <w:rFonts w:ascii="Century Schoolbook" w:hAnsi="Century Schoolbook"/>
        </w:rPr>
        <w:t>United States</w:t>
      </w:r>
      <w:r>
        <w:rPr>
          <w:rFonts w:ascii="Century Schoolbook" w:hAnsi="Century Schoolbook"/>
        </w:rPr>
        <w:t xml:space="preserve"> Constit</w:t>
      </w:r>
      <w:r w:rsidR="008D0757">
        <w:rPr>
          <w:rFonts w:ascii="Century Schoolbook" w:hAnsi="Century Schoolbook"/>
        </w:rPr>
        <w:t>u</w:t>
      </w:r>
      <w:r>
        <w:rPr>
          <w:rFonts w:ascii="Century Schoolbook" w:hAnsi="Century Schoolbook"/>
        </w:rPr>
        <w:t>t</w:t>
      </w:r>
      <w:r w:rsidR="008D0757">
        <w:rPr>
          <w:rFonts w:ascii="Century Schoolbook" w:hAnsi="Century Schoolbook"/>
        </w:rPr>
        <w:t>i</w:t>
      </w:r>
      <w:r>
        <w:rPr>
          <w:rFonts w:ascii="Century Schoolbook" w:hAnsi="Century Schoolbook"/>
        </w:rPr>
        <w:t>on</w:t>
      </w:r>
      <w:r w:rsidR="008D0757">
        <w:rPr>
          <w:rFonts w:ascii="Century Schoolbook" w:hAnsi="Century Schoolbook"/>
        </w:rPr>
        <w:t>, guarantees, among other things</w:t>
      </w:r>
      <w:r w:rsidR="00FA46B8">
        <w:rPr>
          <w:rFonts w:ascii="Century Schoolbook" w:hAnsi="Century Schoolbook"/>
        </w:rPr>
        <w:t>, the right of a criminal defendant to be “</w:t>
      </w:r>
      <w:r w:rsidR="00FC286C">
        <w:rPr>
          <w:rFonts w:ascii="Century Schoolbook" w:hAnsi="Century Schoolbook"/>
        </w:rPr>
        <w:t>confronted with the wi</w:t>
      </w:r>
      <w:r w:rsidR="00395F7F">
        <w:rPr>
          <w:rFonts w:ascii="Century Schoolbook" w:hAnsi="Century Schoolbook"/>
        </w:rPr>
        <w:t>tnesses</w:t>
      </w:r>
      <w:r w:rsidR="00FC286C">
        <w:rPr>
          <w:rFonts w:ascii="Century Schoolbook" w:hAnsi="Century Schoolbook"/>
        </w:rPr>
        <w:t xml:space="preserve"> against him.</w:t>
      </w:r>
      <w:r w:rsidR="00A159CF">
        <w:rPr>
          <w:rFonts w:ascii="Century Schoolbook" w:hAnsi="Century Schoolbook"/>
        </w:rPr>
        <w:t xml:space="preserve">”  This right to confrontation </w:t>
      </w:r>
      <w:r w:rsidR="00395F7F">
        <w:rPr>
          <w:rFonts w:ascii="Century Schoolbook" w:hAnsi="Century Schoolbook"/>
        </w:rPr>
        <w:t xml:space="preserve">also recognizes the associated right </w:t>
      </w:r>
      <w:r w:rsidR="00472178">
        <w:rPr>
          <w:rFonts w:ascii="Century Schoolbook" w:hAnsi="Century Schoolbook"/>
        </w:rPr>
        <w:t xml:space="preserve">of cross-examination.  Mattox v. United States, 156 U.S. </w:t>
      </w:r>
      <w:r w:rsidR="00CB799B">
        <w:rPr>
          <w:rFonts w:ascii="Century Schoolbook" w:hAnsi="Century Schoolbook"/>
        </w:rPr>
        <w:t>237 (1895).</w:t>
      </w:r>
    </w:p>
    <w:p w14:paraId="217FE5E5" w14:textId="42A338BD" w:rsidR="00CB799B" w:rsidRDefault="00CB799B" w:rsidP="00E3535E">
      <w:pPr>
        <w:spacing w:line="480" w:lineRule="auto"/>
        <w:jc w:val="both"/>
        <w:rPr>
          <w:rFonts w:ascii="Century Schoolbook" w:hAnsi="Century Schoolbook"/>
        </w:rPr>
      </w:pPr>
    </w:p>
    <w:p w14:paraId="215620CD" w14:textId="2AD5D6C6" w:rsidR="00024F92" w:rsidRDefault="00CB799B" w:rsidP="00E3535E">
      <w:pPr>
        <w:spacing w:line="480" w:lineRule="auto"/>
        <w:jc w:val="both"/>
        <w:rPr>
          <w:rFonts w:ascii="Century Schoolbook" w:hAnsi="Century Schoolbook"/>
        </w:rPr>
      </w:pPr>
      <w:r>
        <w:rPr>
          <w:rFonts w:ascii="Century Schoolbook" w:hAnsi="Century Schoolbook"/>
        </w:rPr>
        <w:t xml:space="preserve">The Bruton Rule is a </w:t>
      </w:r>
      <w:r w:rsidR="00821B9F">
        <w:rPr>
          <w:rFonts w:ascii="Century Schoolbook" w:hAnsi="Century Schoolbook"/>
        </w:rPr>
        <w:t>Confrontation</w:t>
      </w:r>
      <w:r>
        <w:rPr>
          <w:rFonts w:ascii="Century Schoolbook" w:hAnsi="Century Schoolbook"/>
        </w:rPr>
        <w:t xml:space="preserve"> </w:t>
      </w:r>
      <w:r w:rsidR="00821B9F">
        <w:rPr>
          <w:rFonts w:ascii="Century Schoolbook" w:hAnsi="Century Schoolbook"/>
        </w:rPr>
        <w:t>Clause</w:t>
      </w:r>
      <w:r>
        <w:rPr>
          <w:rFonts w:ascii="Century Schoolbook" w:hAnsi="Century Schoolbook"/>
        </w:rPr>
        <w:t xml:space="preserve"> </w:t>
      </w:r>
      <w:r w:rsidR="00821B9F">
        <w:rPr>
          <w:rFonts w:ascii="Century Schoolbook" w:hAnsi="Century Schoolbook"/>
        </w:rPr>
        <w:t>right</w:t>
      </w:r>
      <w:r w:rsidR="00B2535A">
        <w:rPr>
          <w:rFonts w:ascii="Century Schoolbook" w:hAnsi="Century Schoolbook"/>
        </w:rPr>
        <w:t xml:space="preserve"> and </w:t>
      </w:r>
      <w:r w:rsidR="00AC4512">
        <w:rPr>
          <w:rFonts w:ascii="Century Schoolbook" w:hAnsi="Century Schoolbook"/>
        </w:rPr>
        <w:t>applies</w:t>
      </w:r>
      <w:r w:rsidR="00B2535A">
        <w:rPr>
          <w:rFonts w:ascii="Century Schoolbook" w:hAnsi="Century Schoolbook"/>
        </w:rPr>
        <w:t xml:space="preserve"> in cases where co-defendants’ </w:t>
      </w:r>
      <w:r w:rsidR="00F007EC">
        <w:rPr>
          <w:rFonts w:ascii="Century Schoolbook" w:hAnsi="Century Schoolbook"/>
        </w:rPr>
        <w:t xml:space="preserve">cases </w:t>
      </w:r>
      <w:r w:rsidR="002703AA">
        <w:rPr>
          <w:rFonts w:ascii="Century Schoolbook" w:hAnsi="Century Schoolbook"/>
        </w:rPr>
        <w:t xml:space="preserve">have been joined </w:t>
      </w:r>
      <w:r w:rsidR="00F007EC">
        <w:rPr>
          <w:rFonts w:ascii="Century Schoolbook" w:hAnsi="Century Schoolbook"/>
        </w:rPr>
        <w:t>for trial</w:t>
      </w:r>
      <w:r w:rsidR="00B008EF">
        <w:rPr>
          <w:rFonts w:ascii="Century Schoolbook" w:hAnsi="Century Schoolbook"/>
        </w:rPr>
        <w:t>,</w:t>
      </w:r>
      <w:r w:rsidR="00F007EC">
        <w:rPr>
          <w:rFonts w:ascii="Century Schoolbook" w:hAnsi="Century Schoolbook"/>
        </w:rPr>
        <w:t xml:space="preserve"> </w:t>
      </w:r>
      <w:r w:rsidR="002703AA">
        <w:rPr>
          <w:rFonts w:ascii="Century Schoolbook" w:hAnsi="Century Schoolbook"/>
        </w:rPr>
        <w:t xml:space="preserve">and one of the non-testifying co-defendants </w:t>
      </w:r>
      <w:r w:rsidR="00806CEC">
        <w:rPr>
          <w:rFonts w:ascii="Century Schoolbook" w:hAnsi="Century Schoolbook"/>
        </w:rPr>
        <w:t xml:space="preserve">has </w:t>
      </w:r>
      <w:r w:rsidR="001306CD">
        <w:rPr>
          <w:rFonts w:ascii="Century Schoolbook" w:hAnsi="Century Schoolbook"/>
        </w:rPr>
        <w:t>made</w:t>
      </w:r>
      <w:r w:rsidR="00806CEC">
        <w:rPr>
          <w:rFonts w:ascii="Century Schoolbook" w:hAnsi="Century Schoolbook"/>
        </w:rPr>
        <w:t xml:space="preserve"> an out-of-court statement </w:t>
      </w:r>
      <w:r w:rsidR="00AC4512">
        <w:rPr>
          <w:rFonts w:ascii="Century Schoolbook" w:hAnsi="Century Schoolbook"/>
        </w:rPr>
        <w:t>naming one or more of his co-defendants as a participant in the crime.</w:t>
      </w:r>
      <w:r w:rsidR="001306CD">
        <w:rPr>
          <w:rFonts w:ascii="Century Schoolbook" w:hAnsi="Century Schoolbook"/>
        </w:rPr>
        <w:t xml:space="preserve"> </w:t>
      </w:r>
      <w:r w:rsidR="00C84E82">
        <w:rPr>
          <w:rFonts w:ascii="Century Schoolbook" w:hAnsi="Century Schoolbook"/>
        </w:rPr>
        <w:t xml:space="preserve">The State obviously would love to have this statement introduced in the trial; the </w:t>
      </w:r>
      <w:r w:rsidR="00860E63">
        <w:rPr>
          <w:rFonts w:ascii="Century Schoolbook" w:hAnsi="Century Schoolbook"/>
        </w:rPr>
        <w:t>defendant</w:t>
      </w:r>
      <w:r w:rsidR="00BF6F57">
        <w:rPr>
          <w:rFonts w:ascii="Century Schoolbook" w:hAnsi="Century Schoolbook"/>
        </w:rPr>
        <w:t xml:space="preserve"> against whom the statement is made would</w:t>
      </w:r>
      <w:r w:rsidR="00CE2E49">
        <w:rPr>
          <w:rFonts w:ascii="Century Schoolbook" w:hAnsi="Century Schoolbook"/>
        </w:rPr>
        <w:t xml:space="preserve"> understandably prefer not to have the statement introduced against him.  And</w:t>
      </w:r>
      <w:r w:rsidR="00DC5F0C">
        <w:rPr>
          <w:rFonts w:ascii="Century Schoolbook" w:hAnsi="Century Schoolbook"/>
        </w:rPr>
        <w:t xml:space="preserve"> he would generally prevail in his </w:t>
      </w:r>
      <w:r w:rsidR="00860E63">
        <w:rPr>
          <w:rFonts w:ascii="Century Schoolbook" w:hAnsi="Century Schoolbook"/>
        </w:rPr>
        <w:t>objection</w:t>
      </w:r>
      <w:r w:rsidR="00DC5F0C">
        <w:rPr>
          <w:rFonts w:ascii="Century Schoolbook" w:hAnsi="Century Schoolbook"/>
        </w:rPr>
        <w:t xml:space="preserve"> to</w:t>
      </w:r>
      <w:r w:rsidR="00860E63">
        <w:rPr>
          <w:rFonts w:ascii="Century Schoolbook" w:hAnsi="Century Schoolbook"/>
        </w:rPr>
        <w:t xml:space="preserve"> its</w:t>
      </w:r>
      <w:r w:rsidR="00DC5F0C">
        <w:rPr>
          <w:rFonts w:ascii="Century Schoolbook" w:hAnsi="Century Schoolbook"/>
        </w:rPr>
        <w:t xml:space="preserve"> introduction</w:t>
      </w:r>
      <w:r w:rsidR="00024F92">
        <w:rPr>
          <w:rFonts w:ascii="Century Schoolbook" w:hAnsi="Century Schoolbook"/>
        </w:rPr>
        <w:t xml:space="preserve">, </w:t>
      </w:r>
      <w:r w:rsidR="001751AB">
        <w:rPr>
          <w:rFonts w:ascii="Century Schoolbook" w:hAnsi="Century Schoolbook"/>
        </w:rPr>
        <w:t xml:space="preserve">as doing so would violate his right to be confronted with </w:t>
      </w:r>
      <w:r w:rsidR="004135EC">
        <w:rPr>
          <w:rFonts w:ascii="Century Schoolbook" w:hAnsi="Century Schoolbook"/>
        </w:rPr>
        <w:t xml:space="preserve">and to cross-examine </w:t>
      </w:r>
      <w:r w:rsidR="001751AB">
        <w:rPr>
          <w:rFonts w:ascii="Century Schoolbook" w:hAnsi="Century Schoolbook"/>
        </w:rPr>
        <w:t xml:space="preserve">the witness against </w:t>
      </w:r>
      <w:r w:rsidR="004135EC">
        <w:rPr>
          <w:rFonts w:ascii="Century Schoolbook" w:hAnsi="Century Schoolbook"/>
        </w:rPr>
        <w:t xml:space="preserve">him. </w:t>
      </w:r>
      <w:r w:rsidR="001751AB">
        <w:rPr>
          <w:rFonts w:ascii="Century Schoolbook" w:hAnsi="Century Schoolbook"/>
        </w:rPr>
        <w:t xml:space="preserve"> </w:t>
      </w:r>
    </w:p>
    <w:p w14:paraId="20E95832" w14:textId="32E938B4" w:rsidR="00B42FED" w:rsidRDefault="00B42FED" w:rsidP="00E3535E">
      <w:pPr>
        <w:spacing w:line="480" w:lineRule="auto"/>
        <w:jc w:val="both"/>
        <w:rPr>
          <w:rFonts w:ascii="Century Schoolbook" w:hAnsi="Century Schoolbook"/>
        </w:rPr>
      </w:pPr>
    </w:p>
    <w:p w14:paraId="38311042" w14:textId="10EB43FD" w:rsidR="00B42FED" w:rsidRDefault="00B42FED" w:rsidP="00E3535E">
      <w:pPr>
        <w:spacing w:line="480" w:lineRule="auto"/>
        <w:jc w:val="both"/>
        <w:rPr>
          <w:rFonts w:ascii="Century Schoolbook" w:hAnsi="Century Schoolbook"/>
        </w:rPr>
      </w:pPr>
      <w:r>
        <w:rPr>
          <w:rFonts w:ascii="Century Schoolbook" w:hAnsi="Century Schoolbook"/>
        </w:rPr>
        <w:t>As a practical matter</w:t>
      </w:r>
      <w:r w:rsidR="00024F92">
        <w:rPr>
          <w:rFonts w:ascii="Century Schoolbook" w:hAnsi="Century Schoolbook"/>
        </w:rPr>
        <w:t xml:space="preserve">, </w:t>
      </w:r>
      <w:r w:rsidR="00D20D4D">
        <w:rPr>
          <w:rFonts w:ascii="Century Schoolbook" w:hAnsi="Century Schoolbook"/>
        </w:rPr>
        <w:t xml:space="preserve">the easiest way to avoid the </w:t>
      </w:r>
      <w:r w:rsidR="00F26E0A">
        <w:rPr>
          <w:rFonts w:ascii="Century Schoolbook" w:hAnsi="Century Schoolbook"/>
        </w:rPr>
        <w:t xml:space="preserve">violation of the defendant’s Confrontation Clause rights </w:t>
      </w:r>
      <w:r w:rsidR="00A715FC">
        <w:rPr>
          <w:rFonts w:ascii="Century Schoolbook" w:hAnsi="Century Schoolbook"/>
        </w:rPr>
        <w:t>would</w:t>
      </w:r>
      <w:r w:rsidR="00F26E0A">
        <w:rPr>
          <w:rFonts w:ascii="Century Schoolbook" w:hAnsi="Century Schoolbook"/>
        </w:rPr>
        <w:t xml:space="preserve"> be to sever (</w:t>
      </w:r>
      <w:r w:rsidR="00A715FC">
        <w:rPr>
          <w:rFonts w:ascii="Century Schoolbook" w:hAnsi="Century Schoolbook"/>
        </w:rPr>
        <w:t>not join) the cases for trial</w:t>
      </w:r>
      <w:r w:rsidR="00A62663">
        <w:rPr>
          <w:rFonts w:ascii="Century Schoolbook" w:hAnsi="Century Schoolbook"/>
        </w:rPr>
        <w:t xml:space="preserve">.  Obviously, the non-testifying defendant who made the statement can have the statement </w:t>
      </w:r>
      <w:r w:rsidR="005A124B">
        <w:rPr>
          <w:rFonts w:ascii="Century Schoolbook" w:hAnsi="Century Schoolbook"/>
        </w:rPr>
        <w:t>int</w:t>
      </w:r>
      <w:r w:rsidR="00435A43">
        <w:rPr>
          <w:rFonts w:ascii="Century Schoolbook" w:hAnsi="Century Schoolbook"/>
        </w:rPr>
        <w:t>roduced</w:t>
      </w:r>
      <w:r w:rsidR="005A124B">
        <w:rPr>
          <w:rFonts w:ascii="Century Schoolbook" w:hAnsi="Century Schoolbook"/>
        </w:rPr>
        <w:t xml:space="preserve"> against him at his own trial as a st</w:t>
      </w:r>
      <w:r w:rsidR="00686C34">
        <w:rPr>
          <w:rFonts w:ascii="Century Schoolbook" w:hAnsi="Century Schoolbook"/>
        </w:rPr>
        <w:t>atement by party</w:t>
      </w:r>
      <w:r w:rsidR="0040257D">
        <w:rPr>
          <w:rFonts w:ascii="Century Schoolbook" w:hAnsi="Century Schoolbook"/>
        </w:rPr>
        <w:t>-</w:t>
      </w:r>
      <w:r w:rsidR="00686C34">
        <w:rPr>
          <w:rFonts w:ascii="Century Schoolbook" w:hAnsi="Century Schoolbook"/>
        </w:rPr>
        <w:t xml:space="preserve">opponent </w:t>
      </w:r>
      <w:r w:rsidR="008D7D3C">
        <w:rPr>
          <w:rFonts w:ascii="Century Schoolbook" w:hAnsi="Century Schoolbook"/>
        </w:rPr>
        <w:t>under Rule 801(</w:t>
      </w:r>
      <w:r w:rsidR="00435A43">
        <w:rPr>
          <w:rFonts w:ascii="Century Schoolbook" w:hAnsi="Century Schoolbook"/>
        </w:rPr>
        <w:t xml:space="preserve">d). </w:t>
      </w:r>
      <w:r w:rsidR="00CC54AE">
        <w:rPr>
          <w:rFonts w:ascii="Century Schoolbook" w:hAnsi="Century Schoolbook"/>
        </w:rPr>
        <w:t xml:space="preserve"> If the State wants to introduce the </w:t>
      </w:r>
      <w:r w:rsidR="00B406B1">
        <w:rPr>
          <w:rFonts w:ascii="Century Schoolbook" w:hAnsi="Century Schoolbook"/>
        </w:rPr>
        <w:t>non-testifying co-defendant’s</w:t>
      </w:r>
      <w:r w:rsidR="00436E20">
        <w:rPr>
          <w:rFonts w:ascii="Century Schoolbook" w:hAnsi="Century Schoolbook"/>
        </w:rPr>
        <w:t xml:space="preserve"> inculpatory statement at the joint trial, then the Court must sever the cases.  Or the State could choose to </w:t>
      </w:r>
      <w:r w:rsidR="00110A0C">
        <w:rPr>
          <w:rFonts w:ascii="Century Schoolbook" w:hAnsi="Century Schoolbook"/>
        </w:rPr>
        <w:t xml:space="preserve">proceed with a joint trial and forego using the statement </w:t>
      </w:r>
      <w:r w:rsidR="008A6A9C">
        <w:rPr>
          <w:rFonts w:ascii="Century Schoolbook" w:hAnsi="Century Schoolbook"/>
        </w:rPr>
        <w:t xml:space="preserve">at all.  The chances </w:t>
      </w:r>
      <w:r w:rsidR="008A6A9C">
        <w:rPr>
          <w:rFonts w:ascii="Century Schoolbook" w:hAnsi="Century Schoolbook"/>
        </w:rPr>
        <w:lastRenderedPageBreak/>
        <w:t xml:space="preserve">are that the statement also inculpates the co-defendant who made the statement </w:t>
      </w:r>
      <w:r w:rsidR="00592E83">
        <w:rPr>
          <w:rFonts w:ascii="Century Schoolbook" w:hAnsi="Century Schoolbook"/>
        </w:rPr>
        <w:t xml:space="preserve">(or confession), and the State would rather </w:t>
      </w:r>
      <w:r w:rsidR="002858E9">
        <w:rPr>
          <w:rFonts w:ascii="Century Schoolbook" w:hAnsi="Century Schoolbook"/>
        </w:rPr>
        <w:t xml:space="preserve">have the cases severed so that it can at least have the statement introduced </w:t>
      </w:r>
      <w:r w:rsidR="0015627D">
        <w:rPr>
          <w:rFonts w:ascii="Century Schoolbook" w:hAnsi="Century Schoolbook"/>
        </w:rPr>
        <w:t>at the trial of the co-defendant who made the statement.</w:t>
      </w:r>
      <w:r w:rsidR="00592E83">
        <w:rPr>
          <w:rFonts w:ascii="Century Schoolbook" w:hAnsi="Century Schoolbook"/>
        </w:rPr>
        <w:t xml:space="preserve"> </w:t>
      </w:r>
    </w:p>
    <w:p w14:paraId="0BFE3E0C" w14:textId="339EF73A" w:rsidR="0015627D" w:rsidRDefault="0015627D" w:rsidP="00E3535E">
      <w:pPr>
        <w:spacing w:line="480" w:lineRule="auto"/>
        <w:jc w:val="both"/>
        <w:rPr>
          <w:rFonts w:ascii="Century Schoolbook" w:hAnsi="Century Schoolbook"/>
        </w:rPr>
      </w:pPr>
    </w:p>
    <w:p w14:paraId="5F00DBA2" w14:textId="71A027F0" w:rsidR="00FD4041" w:rsidRDefault="00C273F8" w:rsidP="00E3535E">
      <w:pPr>
        <w:spacing w:line="480" w:lineRule="auto"/>
        <w:jc w:val="both"/>
        <w:rPr>
          <w:rFonts w:ascii="Century Schoolbook" w:hAnsi="Century Schoolbook"/>
        </w:rPr>
      </w:pPr>
      <w:r>
        <w:rPr>
          <w:rFonts w:ascii="Century Schoolbook" w:hAnsi="Century Schoolbook"/>
        </w:rPr>
        <w:t>In Melendez-Diaz v. Massachusetts</w:t>
      </w:r>
      <w:r w:rsidR="00B407D9">
        <w:rPr>
          <w:rFonts w:ascii="Century Schoolbook" w:hAnsi="Century Schoolbook"/>
        </w:rPr>
        <w:t>, 557 U.S. 305 (2009)</w:t>
      </w:r>
      <w:r w:rsidR="003F0721">
        <w:rPr>
          <w:rFonts w:ascii="Century Schoolbook" w:hAnsi="Century Schoolbook"/>
        </w:rPr>
        <w:t xml:space="preserve">, the Supreme Court explicitly held that in order </w:t>
      </w:r>
      <w:r w:rsidR="00C06ECB">
        <w:rPr>
          <w:rFonts w:ascii="Century Schoolbook" w:hAnsi="Century Schoolbook"/>
        </w:rPr>
        <w:t>to fulfill the procedural due process right inherent in the Confrontation Clause</w:t>
      </w:r>
      <w:r w:rsidR="00C46184">
        <w:rPr>
          <w:rFonts w:ascii="Century Schoolbook" w:hAnsi="Century Schoolbook"/>
        </w:rPr>
        <w:t xml:space="preserve">, a criminal defendant must have the opportunity </w:t>
      </w:r>
      <w:r w:rsidR="00CE32AB">
        <w:rPr>
          <w:rFonts w:ascii="Century Schoolbook" w:hAnsi="Century Schoolbook"/>
        </w:rPr>
        <w:t>to cross-exam</w:t>
      </w:r>
      <w:r w:rsidR="00DD1781">
        <w:rPr>
          <w:rFonts w:ascii="Century Schoolbook" w:hAnsi="Century Schoolbook"/>
        </w:rPr>
        <w:t xml:space="preserve">ine testimony that has been made against him.  </w:t>
      </w:r>
      <w:r w:rsidR="00C828B3">
        <w:rPr>
          <w:rFonts w:ascii="Century Schoolbook" w:hAnsi="Century Schoolbook"/>
        </w:rPr>
        <w:t>Melendez-</w:t>
      </w:r>
      <w:r w:rsidR="006E1FB3">
        <w:rPr>
          <w:rFonts w:ascii="Century Schoolbook" w:hAnsi="Century Schoolbook"/>
        </w:rPr>
        <w:t>Diaz</w:t>
      </w:r>
      <w:r w:rsidR="00C828B3">
        <w:rPr>
          <w:rFonts w:ascii="Century Schoolbook" w:hAnsi="Century Schoolbook"/>
        </w:rPr>
        <w:t xml:space="preserve"> was decided f</w:t>
      </w:r>
      <w:r w:rsidR="006E1FB3">
        <w:rPr>
          <w:rFonts w:ascii="Century Schoolbook" w:hAnsi="Century Schoolbook"/>
        </w:rPr>
        <w:t>ive</w:t>
      </w:r>
      <w:r w:rsidR="00C828B3">
        <w:rPr>
          <w:rFonts w:ascii="Century Schoolbook" w:hAnsi="Century Schoolbook"/>
        </w:rPr>
        <w:t xml:space="preserve"> years after Crawford v. Washington, </w:t>
      </w:r>
      <w:r w:rsidR="006E1FB3">
        <w:rPr>
          <w:rFonts w:ascii="Century Schoolbook" w:hAnsi="Century Schoolbook"/>
        </w:rPr>
        <w:t xml:space="preserve">541 U.S. </w:t>
      </w:r>
      <w:r w:rsidR="00C217BA">
        <w:rPr>
          <w:rFonts w:ascii="Century Schoolbook" w:hAnsi="Century Schoolbook"/>
        </w:rPr>
        <w:t xml:space="preserve">36 (2004). </w:t>
      </w:r>
      <w:r w:rsidR="00BE0971">
        <w:rPr>
          <w:rFonts w:ascii="Century Schoolbook" w:hAnsi="Century Schoolbook"/>
        </w:rPr>
        <w:t>This</w:t>
      </w:r>
      <w:r w:rsidR="00C217BA">
        <w:rPr>
          <w:rFonts w:ascii="Century Schoolbook" w:hAnsi="Century Schoolbook"/>
        </w:rPr>
        <w:t xml:space="preserve"> fact is significant as </w:t>
      </w:r>
      <w:r w:rsidR="00BE0971">
        <w:rPr>
          <w:rFonts w:ascii="Century Schoolbook" w:hAnsi="Century Schoolbook"/>
        </w:rPr>
        <w:t xml:space="preserve">the </w:t>
      </w:r>
      <w:r w:rsidR="00C217BA">
        <w:rPr>
          <w:rFonts w:ascii="Century Schoolbook" w:hAnsi="Century Schoolbook"/>
        </w:rPr>
        <w:t xml:space="preserve">Melendez-Diaz </w:t>
      </w:r>
      <w:r w:rsidR="00BE0971">
        <w:rPr>
          <w:rFonts w:ascii="Century Schoolbook" w:hAnsi="Century Schoolbook"/>
        </w:rPr>
        <w:t>rule is limited to “testi</w:t>
      </w:r>
      <w:r w:rsidR="00BC2254">
        <w:rPr>
          <w:rFonts w:ascii="Century Schoolbook" w:hAnsi="Century Schoolbook"/>
        </w:rPr>
        <w:t>mony,” a</w:t>
      </w:r>
      <w:r w:rsidR="009B4C28">
        <w:rPr>
          <w:rFonts w:ascii="Century Schoolbook" w:hAnsi="Century Schoolbook"/>
        </w:rPr>
        <w:t xml:space="preserve"> limitation </w:t>
      </w:r>
      <w:r w:rsidR="00FD4041">
        <w:rPr>
          <w:rFonts w:ascii="Century Schoolbook" w:hAnsi="Century Schoolbook"/>
        </w:rPr>
        <w:t xml:space="preserve">articulated </w:t>
      </w:r>
      <w:r w:rsidR="009B4C28">
        <w:rPr>
          <w:rFonts w:ascii="Century Schoolbook" w:hAnsi="Century Schoolbook"/>
        </w:rPr>
        <w:t>in Crawford; the statement</w:t>
      </w:r>
      <w:r w:rsidR="00FD4041">
        <w:rPr>
          <w:rFonts w:ascii="Century Schoolbook" w:hAnsi="Century Schoolbook"/>
        </w:rPr>
        <w:t xml:space="preserve"> that the state seeks to us</w:t>
      </w:r>
      <w:r w:rsidR="00AA25C5">
        <w:rPr>
          <w:rFonts w:ascii="Century Schoolbook" w:hAnsi="Century Schoolbook"/>
        </w:rPr>
        <w:t>e</w:t>
      </w:r>
      <w:r w:rsidR="009B4C28">
        <w:rPr>
          <w:rFonts w:ascii="Century Schoolbook" w:hAnsi="Century Schoolbook"/>
        </w:rPr>
        <w:t xml:space="preserve"> against the defendant</w:t>
      </w:r>
      <w:r w:rsidR="00FD4041">
        <w:rPr>
          <w:rFonts w:ascii="Century Schoolbook" w:hAnsi="Century Schoolbook"/>
        </w:rPr>
        <w:t xml:space="preserve"> must be “testimonial” in order for it to fall under the </w:t>
      </w:r>
      <w:r w:rsidR="00AA25C5">
        <w:rPr>
          <w:rFonts w:ascii="Century Schoolbook" w:hAnsi="Century Schoolbook"/>
        </w:rPr>
        <w:t xml:space="preserve">rule, and therefore be excluded. </w:t>
      </w:r>
    </w:p>
    <w:p w14:paraId="28291401" w14:textId="4AF140E8" w:rsidR="00AA25C5" w:rsidRDefault="00AA25C5" w:rsidP="00E3535E">
      <w:pPr>
        <w:spacing w:line="480" w:lineRule="auto"/>
        <w:jc w:val="both"/>
        <w:rPr>
          <w:rFonts w:ascii="Century Schoolbook" w:hAnsi="Century Schoolbook"/>
        </w:rPr>
      </w:pPr>
    </w:p>
    <w:p w14:paraId="17D6C495" w14:textId="608866C6" w:rsidR="00C01FD6" w:rsidRDefault="00AA25C5" w:rsidP="00E3535E">
      <w:pPr>
        <w:spacing w:line="480" w:lineRule="auto"/>
        <w:jc w:val="both"/>
        <w:rPr>
          <w:rFonts w:ascii="Century Schoolbook" w:hAnsi="Century Schoolbook"/>
        </w:rPr>
      </w:pPr>
      <w:r>
        <w:rPr>
          <w:rFonts w:ascii="Century Schoolbook" w:hAnsi="Century Schoolbook"/>
        </w:rPr>
        <w:t>While the subject of whether a statement is testimonial or not is a fascinating debate</w:t>
      </w:r>
      <w:r w:rsidR="009E3A7F">
        <w:rPr>
          <w:rFonts w:ascii="Century Schoolbook" w:hAnsi="Century Schoolbook"/>
        </w:rPr>
        <w:t xml:space="preserve"> under its definition in Crawford, a co-defendant’s confession or statement implicating his other co-defendant or co-defendants</w:t>
      </w:r>
      <w:r w:rsidR="00CF0CB8">
        <w:rPr>
          <w:rFonts w:ascii="Century Schoolbook" w:hAnsi="Century Schoolbook"/>
        </w:rPr>
        <w:t xml:space="preserve"> </w:t>
      </w:r>
      <w:r w:rsidR="00C01FD6">
        <w:rPr>
          <w:rFonts w:ascii="Century Schoolbook" w:hAnsi="Century Schoolbook"/>
        </w:rPr>
        <w:t>procured through police</w:t>
      </w:r>
      <w:r w:rsidR="00C33F97">
        <w:rPr>
          <w:rFonts w:ascii="Century Schoolbook" w:hAnsi="Century Schoolbook"/>
        </w:rPr>
        <w:t>-</w:t>
      </w:r>
      <w:r w:rsidR="00C01FD6">
        <w:rPr>
          <w:rFonts w:ascii="Century Schoolbook" w:hAnsi="Century Schoolbook"/>
        </w:rPr>
        <w:t xml:space="preserve">interrogation is undeniably testimonial.  Crawford at ___.  And there are occasions </w:t>
      </w:r>
      <w:r w:rsidR="00C33F97">
        <w:rPr>
          <w:rFonts w:ascii="Century Schoolbook" w:hAnsi="Century Schoolbook"/>
        </w:rPr>
        <w:t xml:space="preserve">when the statement is not procured by police-interrogation but might still be testimonial.  </w:t>
      </w:r>
      <w:r w:rsidR="00BC52E8">
        <w:rPr>
          <w:rFonts w:ascii="Century Schoolbook" w:hAnsi="Century Schoolbook"/>
        </w:rPr>
        <w:t>The reality is that m</w:t>
      </w:r>
      <w:r w:rsidR="00C33F97">
        <w:rPr>
          <w:rFonts w:ascii="Century Schoolbook" w:hAnsi="Century Schoolbook"/>
        </w:rPr>
        <w:t>ost Bruton issues involve a confession procured through police-interrogation.</w:t>
      </w:r>
      <w:r w:rsidR="00BC52E8">
        <w:rPr>
          <w:rFonts w:ascii="Century Schoolbook" w:hAnsi="Century Schoolbook"/>
        </w:rPr>
        <w:t xml:space="preserve">  But when the statement is not so procured, the fascinating debate </w:t>
      </w:r>
      <w:r w:rsidR="00BC52E8">
        <w:rPr>
          <w:rFonts w:ascii="Century Schoolbook" w:hAnsi="Century Schoolbook"/>
        </w:rPr>
        <w:lastRenderedPageBreak/>
        <w:t xml:space="preserve">erupts.  Thanks also to </w:t>
      </w:r>
      <w:r w:rsidR="00174222">
        <w:rPr>
          <w:rFonts w:ascii="Century Schoolbook" w:hAnsi="Century Schoolbook"/>
        </w:rPr>
        <w:t>Crawford</w:t>
      </w:r>
      <w:r w:rsidR="00BC52E8">
        <w:rPr>
          <w:rFonts w:ascii="Century Schoolbook" w:hAnsi="Century Schoolbook"/>
        </w:rPr>
        <w:t xml:space="preserve">, which specifically overruled </w:t>
      </w:r>
      <w:r w:rsidR="00174222">
        <w:rPr>
          <w:rFonts w:ascii="Century Schoolbook" w:hAnsi="Century Schoolbook"/>
        </w:rPr>
        <w:t xml:space="preserve">Ohio v. Roberts, there is no exception </w:t>
      </w:r>
      <w:r w:rsidR="00CB4568">
        <w:rPr>
          <w:rFonts w:ascii="Century Schoolbook" w:hAnsi="Century Schoolbook"/>
        </w:rPr>
        <w:t>for “reliable hearsay” in a Bruton-challenged confession.</w:t>
      </w:r>
    </w:p>
    <w:p w14:paraId="6BDBB0EA" w14:textId="661EEBEE" w:rsidR="00CB4568" w:rsidRDefault="00CB4568" w:rsidP="00E3535E">
      <w:pPr>
        <w:spacing w:line="480" w:lineRule="auto"/>
        <w:jc w:val="both"/>
        <w:rPr>
          <w:rFonts w:ascii="Century Schoolbook" w:hAnsi="Century Schoolbook"/>
        </w:rPr>
      </w:pPr>
    </w:p>
    <w:p w14:paraId="5F692D8B" w14:textId="6C79D5A2" w:rsidR="00544ABA" w:rsidRDefault="00CB4568" w:rsidP="00E3535E">
      <w:pPr>
        <w:spacing w:line="480" w:lineRule="auto"/>
        <w:jc w:val="both"/>
        <w:rPr>
          <w:rFonts w:ascii="Century Schoolbook" w:hAnsi="Century Schoolbook"/>
        </w:rPr>
      </w:pPr>
      <w:r>
        <w:rPr>
          <w:rFonts w:ascii="Century Schoolbook" w:hAnsi="Century Schoolbook"/>
        </w:rPr>
        <w:t xml:space="preserve">The Bruton rule applies only if the non-testifying co-defendant’s statement actually incriminates the </w:t>
      </w:r>
      <w:r w:rsidR="00C97080">
        <w:rPr>
          <w:rFonts w:ascii="Century Schoolbook" w:hAnsi="Century Schoolbook"/>
        </w:rPr>
        <w:t>other defendant.  See State v. Boozer, 210 N.C. App. 371 (2011</w:t>
      </w:r>
      <w:r w:rsidR="00E133B0">
        <w:rPr>
          <w:rFonts w:ascii="Century Schoolbook" w:hAnsi="Century Schoolbook"/>
        </w:rPr>
        <w:t>);</w:t>
      </w:r>
      <w:r w:rsidR="00C97080">
        <w:rPr>
          <w:rFonts w:ascii="Century Schoolbook" w:hAnsi="Century Schoolbook"/>
        </w:rPr>
        <w:t xml:space="preserve"> State v. Taylor, 344 N.C. 31 (1996); State v. </w:t>
      </w:r>
      <w:r w:rsidR="007A4E95">
        <w:rPr>
          <w:rFonts w:ascii="Century Schoolbook" w:hAnsi="Century Schoolbook"/>
        </w:rPr>
        <w:t>Howard, 56 N.C. App. 41 (1982); see also Richardson v. Marsh, 481 U.S. 200 (1987), and also Gray v. Maryland</w:t>
      </w:r>
      <w:r w:rsidR="009F29AA">
        <w:rPr>
          <w:rFonts w:ascii="Century Schoolbook" w:hAnsi="Century Schoolbook"/>
        </w:rPr>
        <w:t xml:space="preserve">, 523 U.S. 185 (1998).  An interesting area of litigation is whether the statement of the non-testifying co-defendant </w:t>
      </w:r>
      <w:r w:rsidR="00E133B0">
        <w:rPr>
          <w:rFonts w:ascii="Century Schoolbook" w:hAnsi="Century Schoolbook"/>
        </w:rPr>
        <w:t>“facially” incriminates the def</w:t>
      </w:r>
      <w:r w:rsidR="00E636AA">
        <w:rPr>
          <w:rFonts w:ascii="Century Schoolbook" w:hAnsi="Century Schoolbook"/>
        </w:rPr>
        <w:t xml:space="preserve">endant or simply incriminates by connection </w:t>
      </w:r>
      <w:r w:rsidR="00C11355">
        <w:rPr>
          <w:rFonts w:ascii="Century Schoolbook" w:hAnsi="Century Schoolbook"/>
        </w:rPr>
        <w:t>or</w:t>
      </w:r>
      <w:r w:rsidR="00E636AA">
        <w:rPr>
          <w:rFonts w:ascii="Century Schoolbook" w:hAnsi="Century Schoolbook"/>
        </w:rPr>
        <w:t xml:space="preserve"> inference</w:t>
      </w:r>
      <w:r w:rsidR="00C11355">
        <w:rPr>
          <w:rFonts w:ascii="Century Schoolbook" w:hAnsi="Century Schoolbook"/>
        </w:rPr>
        <w:t>.  Richardson tells us th</w:t>
      </w:r>
      <w:r w:rsidR="00BF6702">
        <w:rPr>
          <w:rFonts w:ascii="Century Schoolbook" w:hAnsi="Century Schoolbook"/>
        </w:rPr>
        <w:t>at</w:t>
      </w:r>
      <w:r w:rsidR="00C11355">
        <w:rPr>
          <w:rFonts w:ascii="Century Schoolbook" w:hAnsi="Century Schoolbook"/>
        </w:rPr>
        <w:t xml:space="preserve"> Bruton is limited to the former</w:t>
      </w:r>
      <w:r w:rsidR="00AB1ABA">
        <w:rPr>
          <w:rFonts w:ascii="Century Schoolbook" w:hAnsi="Century Schoolbook"/>
        </w:rPr>
        <w:t xml:space="preserve"> and not the latter. </w:t>
      </w:r>
      <w:r w:rsidR="002B6FA2">
        <w:rPr>
          <w:rFonts w:ascii="Century Schoolbook" w:hAnsi="Century Schoolbook"/>
        </w:rPr>
        <w:t xml:space="preserve"> </w:t>
      </w:r>
    </w:p>
    <w:p w14:paraId="18A3E3AB" w14:textId="77777777" w:rsidR="00544ABA" w:rsidRDefault="00544ABA" w:rsidP="00E3535E">
      <w:pPr>
        <w:spacing w:line="480" w:lineRule="auto"/>
        <w:jc w:val="both"/>
        <w:rPr>
          <w:rFonts w:ascii="Century Schoolbook" w:hAnsi="Century Schoolbook"/>
        </w:rPr>
      </w:pPr>
    </w:p>
    <w:p w14:paraId="4B4DEB18" w14:textId="6E9D2EBC" w:rsidR="00CB4568" w:rsidRDefault="00544ABA" w:rsidP="00E3535E">
      <w:pPr>
        <w:spacing w:line="480" w:lineRule="auto"/>
        <w:jc w:val="both"/>
        <w:rPr>
          <w:rFonts w:ascii="Century Schoolbook" w:hAnsi="Century Schoolbook"/>
        </w:rPr>
      </w:pPr>
      <w:r>
        <w:rPr>
          <w:rFonts w:ascii="Century Schoolbook" w:hAnsi="Century Schoolbook"/>
        </w:rPr>
        <w:t xml:space="preserve">Redaction and a limiting instruction </w:t>
      </w:r>
      <w:r w:rsidR="00225C18">
        <w:rPr>
          <w:rFonts w:ascii="Century Schoolbook" w:hAnsi="Century Schoolbook"/>
        </w:rPr>
        <w:t>may</w:t>
      </w:r>
      <w:r>
        <w:rPr>
          <w:rFonts w:ascii="Century Schoolbook" w:hAnsi="Century Schoolbook"/>
        </w:rPr>
        <w:t xml:space="preserve"> be sufficient to avoid running </w:t>
      </w:r>
      <w:r w:rsidR="00225C18">
        <w:rPr>
          <w:rFonts w:ascii="Century Schoolbook" w:hAnsi="Century Schoolbook"/>
        </w:rPr>
        <w:t>afoul</w:t>
      </w:r>
      <w:r>
        <w:rPr>
          <w:rFonts w:ascii="Century Schoolbook" w:hAnsi="Century Schoolbook"/>
        </w:rPr>
        <w:t xml:space="preserve"> of the </w:t>
      </w:r>
      <w:r w:rsidR="00225C18">
        <w:rPr>
          <w:rFonts w:ascii="Century Schoolbook" w:hAnsi="Century Schoolbook"/>
        </w:rPr>
        <w:t>Bruton rule.</w:t>
      </w:r>
      <w:r w:rsidR="009B7260">
        <w:rPr>
          <w:rFonts w:ascii="Century Schoolbook" w:hAnsi="Century Schoolbook"/>
        </w:rPr>
        <w:t xml:space="preserve"> </w:t>
      </w:r>
      <w:r w:rsidR="00F92F2F">
        <w:rPr>
          <w:rFonts w:ascii="Century Schoolbook" w:hAnsi="Century Schoolbook"/>
        </w:rPr>
        <w:t xml:space="preserve"> </w:t>
      </w:r>
      <w:r w:rsidR="00225C18">
        <w:rPr>
          <w:rFonts w:ascii="Century Schoolbook" w:hAnsi="Century Schoolbook"/>
        </w:rPr>
        <w:t xml:space="preserve">However, </w:t>
      </w:r>
      <w:r w:rsidR="00FB2874">
        <w:rPr>
          <w:rFonts w:ascii="Century Schoolbook" w:hAnsi="Century Schoolbook"/>
        </w:rPr>
        <w:t>in order to be sufficient, the redaction must eliminate the defendant’s name a</w:t>
      </w:r>
      <w:r w:rsidR="005D7809">
        <w:rPr>
          <w:rFonts w:ascii="Century Schoolbook" w:hAnsi="Century Schoolbook"/>
        </w:rPr>
        <w:t xml:space="preserve">s well as any and all references to his or her existence.  </w:t>
      </w:r>
      <w:r w:rsidR="00753019">
        <w:rPr>
          <w:rFonts w:ascii="Century Schoolbook" w:hAnsi="Century Schoolbook"/>
        </w:rPr>
        <w:t>Richardson 481 U.S. at 21</w:t>
      </w:r>
      <w:r w:rsidR="00A53278">
        <w:rPr>
          <w:rFonts w:ascii="Century Schoolbook" w:hAnsi="Century Schoolbook"/>
        </w:rPr>
        <w:t xml:space="preserve">1.  </w:t>
      </w:r>
      <w:r w:rsidR="00291098">
        <w:rPr>
          <w:rFonts w:ascii="Century Schoolbook" w:hAnsi="Century Schoolbook"/>
        </w:rPr>
        <w:t>If, even</w:t>
      </w:r>
      <w:r w:rsidR="00C729B9">
        <w:rPr>
          <w:rFonts w:ascii="Century Schoolbook" w:hAnsi="Century Schoolbook"/>
        </w:rPr>
        <w:t xml:space="preserve"> after redaction, the confession still refers to the existence of the</w:t>
      </w:r>
      <w:r w:rsidR="00291098">
        <w:rPr>
          <w:rFonts w:ascii="Century Schoolbook" w:hAnsi="Century Schoolbook"/>
        </w:rPr>
        <w:t xml:space="preserve"> non-confessing</w:t>
      </w:r>
      <w:r w:rsidR="00C729B9">
        <w:rPr>
          <w:rFonts w:ascii="Century Schoolbook" w:hAnsi="Century Schoolbook"/>
        </w:rPr>
        <w:t xml:space="preserve"> defendant</w:t>
      </w:r>
      <w:r w:rsidR="00722542">
        <w:rPr>
          <w:rFonts w:ascii="Century Schoolbook" w:hAnsi="Century Schoolbook"/>
        </w:rPr>
        <w:t xml:space="preserve">, then the modification or deletion of the defendant’s name is not sufficient to survive the </w:t>
      </w:r>
      <w:r w:rsidR="00C5277D">
        <w:rPr>
          <w:rFonts w:ascii="Century Schoolbook" w:hAnsi="Century Schoolbook"/>
        </w:rPr>
        <w:t>Bruton challenge.  Se</w:t>
      </w:r>
      <w:r w:rsidR="00B430D3">
        <w:rPr>
          <w:rFonts w:ascii="Century Schoolbook" w:hAnsi="Century Schoolbook"/>
        </w:rPr>
        <w:t>e</w:t>
      </w:r>
      <w:r w:rsidR="00C5277D">
        <w:rPr>
          <w:rFonts w:ascii="Century Schoolbook" w:hAnsi="Century Schoolbook"/>
        </w:rPr>
        <w:t xml:space="preserve"> Gray, 523 U.S. at 192-7</w:t>
      </w:r>
      <w:r w:rsidR="00907860">
        <w:rPr>
          <w:rFonts w:ascii="Century Schoolbook" w:hAnsi="Century Schoolbook"/>
        </w:rPr>
        <w:t xml:space="preserve">; and State v. Roope, 130 N.C. App. 356 </w:t>
      </w:r>
      <w:r w:rsidR="008A4ADB">
        <w:rPr>
          <w:rFonts w:ascii="Century Schoolbook" w:hAnsi="Century Schoolbook"/>
        </w:rPr>
        <w:t>(</w:t>
      </w:r>
      <w:r w:rsidR="00907860">
        <w:rPr>
          <w:rFonts w:ascii="Century Schoolbook" w:hAnsi="Century Schoolbook"/>
        </w:rPr>
        <w:t>1998)</w:t>
      </w:r>
      <w:r w:rsidR="008A4ADB">
        <w:rPr>
          <w:rFonts w:ascii="Century Schoolbook" w:hAnsi="Century Schoolbook"/>
        </w:rPr>
        <w:t>.</w:t>
      </w:r>
    </w:p>
    <w:p w14:paraId="4A838B1D" w14:textId="77777777" w:rsidR="00B430D3" w:rsidRDefault="00B430D3" w:rsidP="00E3535E">
      <w:pPr>
        <w:spacing w:line="480" w:lineRule="auto"/>
        <w:jc w:val="both"/>
        <w:rPr>
          <w:rFonts w:ascii="Century Schoolbook" w:hAnsi="Century Schoolbook"/>
        </w:rPr>
      </w:pPr>
    </w:p>
    <w:p w14:paraId="52069D89" w14:textId="6BF3846C" w:rsidR="00B430D3" w:rsidRDefault="00F74DB0" w:rsidP="00E3535E">
      <w:pPr>
        <w:spacing w:line="480" w:lineRule="auto"/>
        <w:jc w:val="both"/>
        <w:rPr>
          <w:rFonts w:ascii="Century Schoolbook" w:hAnsi="Century Schoolbook"/>
        </w:rPr>
      </w:pPr>
      <w:r>
        <w:rPr>
          <w:rFonts w:ascii="Century Schoolbook" w:hAnsi="Century Schoolbook"/>
        </w:rPr>
        <w:t>In State v. Gonzalez, 311 N.C. 80 (1984)</w:t>
      </w:r>
      <w:r w:rsidR="00434E67">
        <w:rPr>
          <w:rFonts w:ascii="Century Schoolbook" w:hAnsi="Century Schoolbook"/>
        </w:rPr>
        <w:t xml:space="preserve">, the non-testifying co-defendant’s confession that </w:t>
      </w:r>
      <w:r w:rsidR="005F69FB">
        <w:rPr>
          <w:rFonts w:ascii="Century Schoolbook" w:hAnsi="Century Schoolbook"/>
        </w:rPr>
        <w:t>did</w:t>
      </w:r>
      <w:r w:rsidR="00434E67">
        <w:rPr>
          <w:rFonts w:ascii="Century Schoolbook" w:hAnsi="Century Schoolbook"/>
        </w:rPr>
        <w:t xml:space="preserve"> not name the defendant was insufficiently “sanitized” </w:t>
      </w:r>
      <w:r w:rsidR="005F69FB">
        <w:rPr>
          <w:rFonts w:ascii="Century Schoolbook" w:hAnsi="Century Schoolbook"/>
        </w:rPr>
        <w:t xml:space="preserve">when the confession </w:t>
      </w:r>
      <w:r w:rsidR="005F69FB">
        <w:rPr>
          <w:rFonts w:ascii="Century Schoolbook" w:hAnsi="Century Schoolbook"/>
        </w:rPr>
        <w:lastRenderedPageBreak/>
        <w:t>included the language: “</w:t>
      </w:r>
      <w:r w:rsidR="00F3047D">
        <w:rPr>
          <w:rFonts w:ascii="Century Schoolbook" w:hAnsi="Century Schoolbook"/>
        </w:rPr>
        <w:t xml:space="preserve">I </w:t>
      </w:r>
      <w:r w:rsidR="00E83EFA">
        <w:rPr>
          <w:rFonts w:ascii="Century Schoolbook" w:hAnsi="Century Schoolbook"/>
        </w:rPr>
        <w:t>told</w:t>
      </w:r>
      <w:r w:rsidR="00F3047D">
        <w:rPr>
          <w:rFonts w:ascii="Century Schoolbook" w:hAnsi="Century Schoolbook"/>
        </w:rPr>
        <w:t xml:space="preserve"> him </w:t>
      </w:r>
      <w:r w:rsidR="00E83EFA">
        <w:rPr>
          <w:rFonts w:ascii="Century Schoolbook" w:hAnsi="Century Schoolbook"/>
        </w:rPr>
        <w:t>that</w:t>
      </w:r>
      <w:r w:rsidR="00F3047D">
        <w:rPr>
          <w:rFonts w:ascii="Century Schoolbook" w:hAnsi="Century Schoolbook"/>
        </w:rPr>
        <w:t xml:space="preserve"> I was with some guys, but that I didn’t rob anyone</w:t>
      </w:r>
      <w:r w:rsidR="00BF702F">
        <w:rPr>
          <w:rFonts w:ascii="Century Schoolbook" w:hAnsi="Century Schoolbook"/>
        </w:rPr>
        <w:t>, they did.”  In this case, the confessor’s two c</w:t>
      </w:r>
      <w:r w:rsidR="00D717F7">
        <w:rPr>
          <w:rFonts w:ascii="Century Schoolbook" w:hAnsi="Century Schoolbook"/>
        </w:rPr>
        <w:t>o</w:t>
      </w:r>
      <w:r w:rsidR="00BF702F">
        <w:rPr>
          <w:rFonts w:ascii="Century Schoolbook" w:hAnsi="Century Schoolbook"/>
        </w:rPr>
        <w:t>-</w:t>
      </w:r>
      <w:r w:rsidR="00E83EFA">
        <w:rPr>
          <w:rFonts w:ascii="Century Schoolbook" w:hAnsi="Century Schoolbook"/>
        </w:rPr>
        <w:t>defendants</w:t>
      </w:r>
      <w:r w:rsidR="00D717F7">
        <w:rPr>
          <w:rFonts w:ascii="Century Schoolbook" w:hAnsi="Century Schoolbook"/>
        </w:rPr>
        <w:t xml:space="preserve"> were </w:t>
      </w:r>
      <w:r w:rsidR="00E83EFA">
        <w:rPr>
          <w:rFonts w:ascii="Century Schoolbook" w:hAnsi="Century Schoolbook"/>
        </w:rPr>
        <w:t>being</w:t>
      </w:r>
      <w:r w:rsidR="00D717F7">
        <w:rPr>
          <w:rFonts w:ascii="Century Schoolbook" w:hAnsi="Century Schoolbook"/>
        </w:rPr>
        <w:t xml:space="preserve"> tried </w:t>
      </w:r>
      <w:r w:rsidR="00E83EFA">
        <w:rPr>
          <w:rFonts w:ascii="Century Schoolbook" w:hAnsi="Century Schoolbook"/>
        </w:rPr>
        <w:t>jointly</w:t>
      </w:r>
      <w:r w:rsidR="00D717F7">
        <w:rPr>
          <w:rFonts w:ascii="Century Schoolbook" w:hAnsi="Century Schoolbook"/>
        </w:rPr>
        <w:t xml:space="preserve"> with the confessor, but only two </w:t>
      </w:r>
      <w:r w:rsidR="00E77225">
        <w:rPr>
          <w:rFonts w:ascii="Century Schoolbook" w:hAnsi="Century Schoolbook"/>
        </w:rPr>
        <w:t>individuals</w:t>
      </w:r>
      <w:r w:rsidR="00D717F7">
        <w:rPr>
          <w:rFonts w:ascii="Century Schoolbook" w:hAnsi="Century Schoolbook"/>
        </w:rPr>
        <w:t xml:space="preserve"> were seen at the </w:t>
      </w:r>
      <w:r w:rsidR="00E77225">
        <w:rPr>
          <w:rFonts w:ascii="Century Schoolbook" w:hAnsi="Century Schoolbook"/>
        </w:rPr>
        <w:t>gas station where the robbery occurred</w:t>
      </w:r>
      <w:r w:rsidR="00E83EFA">
        <w:rPr>
          <w:rFonts w:ascii="Century Schoolbook" w:hAnsi="Century Schoolbook"/>
        </w:rPr>
        <w:t xml:space="preserve"> </w:t>
      </w:r>
      <w:r w:rsidR="00502FFD">
        <w:rPr>
          <w:rFonts w:ascii="Century Schoolbook" w:hAnsi="Century Schoolbook"/>
        </w:rPr>
        <w:t>at</w:t>
      </w:r>
      <w:r w:rsidR="00E83EFA">
        <w:rPr>
          <w:rFonts w:ascii="Century Schoolbook" w:hAnsi="Century Schoolbook"/>
        </w:rPr>
        <w:t xml:space="preserve"> the time of the robbery</w:t>
      </w:r>
      <w:r w:rsidR="00502FFD">
        <w:rPr>
          <w:rFonts w:ascii="Century Schoolbook" w:hAnsi="Century Schoolbook"/>
        </w:rPr>
        <w:t xml:space="preserve">.  The statement clearly implicated </w:t>
      </w:r>
      <w:r w:rsidR="007073B4">
        <w:rPr>
          <w:rFonts w:ascii="Century Schoolbook" w:hAnsi="Century Schoolbook"/>
        </w:rPr>
        <w:t>the non-confessing defendant (</w:t>
      </w:r>
      <w:r w:rsidR="002B3FFA">
        <w:rPr>
          <w:rFonts w:ascii="Century Schoolbook" w:hAnsi="Century Schoolbook"/>
        </w:rPr>
        <w:t>actually</w:t>
      </w:r>
      <w:r w:rsidR="00BC2FD4">
        <w:rPr>
          <w:rFonts w:ascii="Century Schoolbook" w:hAnsi="Century Schoolbook"/>
        </w:rPr>
        <w:t xml:space="preserve">, </w:t>
      </w:r>
      <w:r w:rsidR="007073B4">
        <w:rPr>
          <w:rFonts w:ascii="Century Schoolbook" w:hAnsi="Century Schoolbook"/>
        </w:rPr>
        <w:t>both non-confessing defendants)</w:t>
      </w:r>
      <w:r w:rsidR="00933245">
        <w:rPr>
          <w:rFonts w:ascii="Century Schoolbook" w:hAnsi="Century Schoolbook"/>
        </w:rPr>
        <w:t xml:space="preserve">, and therefore the statement </w:t>
      </w:r>
      <w:r w:rsidR="000A444D">
        <w:rPr>
          <w:rFonts w:ascii="Century Schoolbook" w:hAnsi="Century Schoolbook"/>
        </w:rPr>
        <w:t>could</w:t>
      </w:r>
      <w:r w:rsidR="00933245">
        <w:rPr>
          <w:rFonts w:ascii="Century Schoolbook" w:hAnsi="Century Schoolbook"/>
        </w:rPr>
        <w:t xml:space="preserve"> not be </w:t>
      </w:r>
      <w:r w:rsidR="000A444D">
        <w:rPr>
          <w:rFonts w:ascii="Century Schoolbook" w:hAnsi="Century Schoolbook"/>
        </w:rPr>
        <w:t>admitted</w:t>
      </w:r>
      <w:r w:rsidR="00933245">
        <w:rPr>
          <w:rFonts w:ascii="Century Schoolbook" w:hAnsi="Century Schoolbook"/>
        </w:rPr>
        <w:t xml:space="preserve"> against either of the non-</w:t>
      </w:r>
      <w:r w:rsidR="000A444D">
        <w:rPr>
          <w:rFonts w:ascii="Century Schoolbook" w:hAnsi="Century Schoolbook"/>
        </w:rPr>
        <w:t>confessing defendants.</w:t>
      </w:r>
      <w:r w:rsidR="00933245">
        <w:rPr>
          <w:rFonts w:ascii="Century Schoolbook" w:hAnsi="Century Schoolbook"/>
        </w:rPr>
        <w:t xml:space="preserve"> </w:t>
      </w:r>
    </w:p>
    <w:p w14:paraId="0CC8A955" w14:textId="77777777" w:rsidR="0007048D" w:rsidRDefault="0007048D" w:rsidP="00E3535E">
      <w:pPr>
        <w:spacing w:line="480" w:lineRule="auto"/>
        <w:jc w:val="both"/>
        <w:rPr>
          <w:rFonts w:ascii="Century Schoolbook" w:hAnsi="Century Schoolbook"/>
        </w:rPr>
      </w:pPr>
    </w:p>
    <w:p w14:paraId="026EB186" w14:textId="31F61954" w:rsidR="0007048D" w:rsidRDefault="009B3088" w:rsidP="00E3535E">
      <w:pPr>
        <w:spacing w:line="480" w:lineRule="auto"/>
        <w:jc w:val="both"/>
        <w:rPr>
          <w:rFonts w:ascii="Century Schoolbook" w:hAnsi="Century Schoolbook"/>
        </w:rPr>
      </w:pPr>
      <w:r>
        <w:rPr>
          <w:rFonts w:ascii="Century Schoolbook" w:hAnsi="Century Schoolbook"/>
        </w:rPr>
        <w:t xml:space="preserve">In conclusion, </w:t>
      </w:r>
      <w:r w:rsidR="007B4763">
        <w:rPr>
          <w:rFonts w:ascii="Century Schoolbook" w:hAnsi="Century Schoolbook"/>
        </w:rPr>
        <w:t xml:space="preserve">if a statement has been sufficiently sanitized, the statement may be admitted consistent with Bruton </w:t>
      </w:r>
      <w:r w:rsidR="007672F0">
        <w:rPr>
          <w:rFonts w:ascii="Century Schoolbook" w:hAnsi="Century Schoolbook"/>
        </w:rPr>
        <w:t xml:space="preserve">as long as a limiting instruction is </w:t>
      </w:r>
      <w:r w:rsidR="00737B16">
        <w:rPr>
          <w:rFonts w:ascii="Century Schoolbook" w:hAnsi="Century Schoolbook"/>
        </w:rPr>
        <w:t>given as well – something along the lines of</w:t>
      </w:r>
      <w:r w:rsidR="00273634">
        <w:rPr>
          <w:rFonts w:ascii="Century Schoolbook" w:hAnsi="Century Schoolbook"/>
        </w:rPr>
        <w:t xml:space="preserve">: “you may consider the statement </w:t>
      </w:r>
      <w:r w:rsidR="00A60DA2">
        <w:rPr>
          <w:rFonts w:ascii="Century Schoolbook" w:hAnsi="Century Schoolbook"/>
        </w:rPr>
        <w:t xml:space="preserve">as evidence of </w:t>
      </w:r>
      <w:r w:rsidR="00DF6B1F">
        <w:rPr>
          <w:rFonts w:ascii="Century Schoolbook" w:hAnsi="Century Schoolbook"/>
        </w:rPr>
        <w:t xml:space="preserve"> </w:t>
      </w:r>
      <w:r w:rsidR="00A60DA2">
        <w:rPr>
          <w:rFonts w:ascii="Century Schoolbook" w:hAnsi="Century Schoolbook"/>
        </w:rPr>
        <w:t xml:space="preserve">X’s guilt, but you may </w:t>
      </w:r>
      <w:r w:rsidR="000D2910">
        <w:rPr>
          <w:rFonts w:ascii="Century Schoolbook" w:hAnsi="Century Schoolbook"/>
        </w:rPr>
        <w:t>not</w:t>
      </w:r>
      <w:r w:rsidR="00A60DA2">
        <w:rPr>
          <w:rFonts w:ascii="Century Schoolbook" w:hAnsi="Century Schoolbook"/>
        </w:rPr>
        <w:t xml:space="preserve"> consider the statement as evidence of Y’s gui</w:t>
      </w:r>
      <w:r w:rsidR="000D2910">
        <w:rPr>
          <w:rFonts w:ascii="Century Schoolbook" w:hAnsi="Century Schoolbook"/>
        </w:rPr>
        <w:t xml:space="preserve">lt.”  </w:t>
      </w:r>
      <w:r w:rsidR="00246BB6">
        <w:rPr>
          <w:rFonts w:ascii="Century Schoolbook" w:hAnsi="Century Schoolbook"/>
        </w:rPr>
        <w:t xml:space="preserve">For examples of sufficiently redacted confessions, see State v. Brewington, </w:t>
      </w:r>
      <w:r w:rsidR="0029473C">
        <w:rPr>
          <w:rFonts w:ascii="Century Schoolbook" w:hAnsi="Century Schoolbook"/>
        </w:rPr>
        <w:t xml:space="preserve">352 N.C. 489 (2000), and </w:t>
      </w:r>
      <w:r w:rsidR="007C4BDF">
        <w:rPr>
          <w:rFonts w:ascii="Century Schoolbook" w:hAnsi="Century Schoolbook"/>
        </w:rPr>
        <w:t>S</w:t>
      </w:r>
      <w:r w:rsidR="0029473C">
        <w:rPr>
          <w:rFonts w:ascii="Century Schoolbook" w:hAnsi="Century Schoolbook"/>
        </w:rPr>
        <w:t>tate v. Ferrell,</w:t>
      </w:r>
      <w:r w:rsidR="007C4BDF">
        <w:rPr>
          <w:rFonts w:ascii="Century Schoolbook" w:hAnsi="Century Schoolbook"/>
        </w:rPr>
        <w:t xml:space="preserve"> 46 N.C. App. 52 (1980</w:t>
      </w:r>
      <w:r w:rsidR="00F05E33">
        <w:rPr>
          <w:rFonts w:ascii="Century Schoolbook" w:hAnsi="Century Schoolbook"/>
        </w:rPr>
        <w:t>).  Brewington also discusses when adequate re</w:t>
      </w:r>
      <w:r w:rsidR="00E63E99">
        <w:rPr>
          <w:rFonts w:ascii="Century Schoolbook" w:hAnsi="Century Schoolbook"/>
        </w:rPr>
        <w:t>d</w:t>
      </w:r>
      <w:r w:rsidR="00F05E33">
        <w:rPr>
          <w:rFonts w:ascii="Century Schoolbook" w:hAnsi="Century Schoolbook"/>
        </w:rPr>
        <w:t>action is not possible</w:t>
      </w:r>
      <w:r w:rsidR="006E4CEB">
        <w:rPr>
          <w:rFonts w:ascii="Century Schoolbook" w:hAnsi="Century Schoolbook"/>
        </w:rPr>
        <w:t xml:space="preserve">.  In this situation, the state must choose between </w:t>
      </w:r>
      <w:r w:rsidR="00106C6E">
        <w:rPr>
          <w:rFonts w:ascii="Century Schoolbook" w:hAnsi="Century Schoolbook"/>
        </w:rPr>
        <w:t>relinquishing the confession or trying the cases separately.  See NCGS 15A-927</w:t>
      </w:r>
      <w:r w:rsidR="00D866A2">
        <w:rPr>
          <w:rFonts w:ascii="Century Schoolbook" w:hAnsi="Century Schoolbook"/>
        </w:rPr>
        <w:t>(c)(1) codifying this rule.</w:t>
      </w:r>
      <w:r w:rsidR="0029473C">
        <w:rPr>
          <w:rFonts w:ascii="Century Schoolbook" w:hAnsi="Century Schoolbook"/>
        </w:rPr>
        <w:t xml:space="preserve"> </w:t>
      </w:r>
    </w:p>
    <w:p w14:paraId="7AA681F2" w14:textId="77777777" w:rsidR="00D84925" w:rsidRDefault="00D84925" w:rsidP="00E3535E">
      <w:pPr>
        <w:spacing w:line="480" w:lineRule="auto"/>
        <w:jc w:val="both"/>
        <w:rPr>
          <w:rFonts w:ascii="Century Schoolbook" w:hAnsi="Century Schoolbook"/>
        </w:rPr>
      </w:pPr>
    </w:p>
    <w:p w14:paraId="43D69B5B" w14:textId="7DCA8F11" w:rsidR="00D84925" w:rsidRDefault="00D84925" w:rsidP="00E3535E">
      <w:pPr>
        <w:spacing w:line="480" w:lineRule="auto"/>
        <w:jc w:val="both"/>
        <w:rPr>
          <w:rFonts w:ascii="Century Schoolbook" w:hAnsi="Century Schoolbook"/>
        </w:rPr>
      </w:pPr>
      <w:r>
        <w:rPr>
          <w:rFonts w:ascii="Century Schoolbook" w:hAnsi="Century Schoolbook"/>
        </w:rPr>
        <w:t>We</w:t>
      </w:r>
      <w:r w:rsidR="00E63E99">
        <w:rPr>
          <w:rFonts w:ascii="Century Schoolbook" w:hAnsi="Century Schoolbook"/>
        </w:rPr>
        <w:t>,</w:t>
      </w:r>
      <w:r>
        <w:rPr>
          <w:rFonts w:ascii="Century Schoolbook" w:hAnsi="Century Schoolbook"/>
        </w:rPr>
        <w:t xml:space="preserve"> </w:t>
      </w:r>
      <w:r w:rsidR="00E63E99">
        <w:rPr>
          <w:rFonts w:ascii="Century Schoolbook" w:hAnsi="Century Schoolbook"/>
        </w:rPr>
        <w:t xml:space="preserve">on the defense side, </w:t>
      </w:r>
      <w:r>
        <w:rPr>
          <w:rFonts w:ascii="Century Schoolbook" w:hAnsi="Century Schoolbook"/>
        </w:rPr>
        <w:t>should be careful in what we agree</w:t>
      </w:r>
      <w:r w:rsidR="003E009A">
        <w:rPr>
          <w:rFonts w:ascii="Century Schoolbook" w:hAnsi="Century Schoolbook"/>
        </w:rPr>
        <w:t xml:space="preserve"> to</w:t>
      </w:r>
      <w:r>
        <w:rPr>
          <w:rFonts w:ascii="Century Schoolbook" w:hAnsi="Century Schoolbook"/>
        </w:rPr>
        <w:t xml:space="preserve"> </w:t>
      </w:r>
      <w:r w:rsidR="003E009A">
        <w:rPr>
          <w:rFonts w:ascii="Century Schoolbook" w:hAnsi="Century Schoolbook"/>
        </w:rPr>
        <w:t>-</w:t>
      </w:r>
      <w:r w:rsidR="004419D6">
        <w:rPr>
          <w:rFonts w:ascii="Century Schoolbook" w:hAnsi="Century Schoolbook"/>
        </w:rPr>
        <w:t xml:space="preserve"> if anything </w:t>
      </w:r>
      <w:r w:rsidR="003E009A">
        <w:rPr>
          <w:rFonts w:ascii="Century Schoolbook" w:hAnsi="Century Schoolbook"/>
        </w:rPr>
        <w:t>-</w:t>
      </w:r>
      <w:r w:rsidR="004419D6">
        <w:rPr>
          <w:rFonts w:ascii="Century Schoolbook" w:hAnsi="Century Schoolbook"/>
        </w:rPr>
        <w:t xml:space="preserve"> </w:t>
      </w:r>
      <w:r w:rsidR="00350E2F">
        <w:rPr>
          <w:rFonts w:ascii="Century Schoolbook" w:hAnsi="Century Schoolbook"/>
        </w:rPr>
        <w:t xml:space="preserve">as being sufficiently </w:t>
      </w:r>
      <w:r w:rsidR="000E5BEA">
        <w:rPr>
          <w:rFonts w:ascii="Century Schoolbook" w:hAnsi="Century Schoolbook"/>
        </w:rPr>
        <w:t>redacted or sanitized as well as to the language of the limiting instruction.</w:t>
      </w:r>
      <w:r w:rsidR="00350E2F">
        <w:rPr>
          <w:rFonts w:ascii="Century Schoolbook" w:hAnsi="Century Schoolbook"/>
        </w:rPr>
        <w:t xml:space="preserve"> </w:t>
      </w:r>
      <w:r w:rsidR="004419D6">
        <w:rPr>
          <w:rFonts w:ascii="Century Schoolbook" w:hAnsi="Century Schoolbook"/>
        </w:rPr>
        <w:t xml:space="preserve"> </w:t>
      </w:r>
      <w:r w:rsidR="00AC2F28">
        <w:rPr>
          <w:rFonts w:ascii="Century Schoolbook" w:hAnsi="Century Schoolbook"/>
        </w:rPr>
        <w:t>As a general rule, we should object to the joining o</w:t>
      </w:r>
      <w:r w:rsidR="00EE7B1F">
        <w:rPr>
          <w:rFonts w:ascii="Century Schoolbook" w:hAnsi="Century Schoolbook"/>
        </w:rPr>
        <w:t xml:space="preserve">f co-defendants’ cases for trial and also </w:t>
      </w:r>
      <w:r w:rsidR="00FC6C09">
        <w:rPr>
          <w:rFonts w:ascii="Century Schoolbook" w:hAnsi="Century Schoolbook"/>
        </w:rPr>
        <w:t>file a motion to sever.  In the event that the cases are joined</w:t>
      </w:r>
      <w:r w:rsidR="00CB24AC">
        <w:rPr>
          <w:rFonts w:ascii="Century Schoolbook" w:hAnsi="Century Schoolbook"/>
        </w:rPr>
        <w:t xml:space="preserve"> for trial</w:t>
      </w:r>
      <w:r w:rsidR="00FC6C09">
        <w:rPr>
          <w:rFonts w:ascii="Century Schoolbook" w:hAnsi="Century Schoolbook"/>
        </w:rPr>
        <w:t>, we should</w:t>
      </w:r>
      <w:r w:rsidR="002E183A">
        <w:rPr>
          <w:rFonts w:ascii="Century Schoolbook" w:hAnsi="Century Schoolbook"/>
        </w:rPr>
        <w:t xml:space="preserve"> renew the</w:t>
      </w:r>
      <w:r w:rsidR="00FC6C09">
        <w:rPr>
          <w:rFonts w:ascii="Century Schoolbook" w:hAnsi="Century Schoolbook"/>
        </w:rPr>
        <w:t xml:space="preserve"> </w:t>
      </w:r>
      <w:r w:rsidR="00D234D8">
        <w:rPr>
          <w:rFonts w:ascii="Century Schoolbook" w:hAnsi="Century Schoolbook"/>
        </w:rPr>
        <w:t>object</w:t>
      </w:r>
      <w:r w:rsidR="002E183A">
        <w:rPr>
          <w:rFonts w:ascii="Century Schoolbook" w:hAnsi="Century Schoolbook"/>
        </w:rPr>
        <w:t>ion</w:t>
      </w:r>
      <w:r w:rsidR="00D234D8">
        <w:rPr>
          <w:rFonts w:ascii="Century Schoolbook" w:hAnsi="Century Schoolbook"/>
        </w:rPr>
        <w:t xml:space="preserve"> at the close of the State’s evidence</w:t>
      </w:r>
      <w:r w:rsidR="00CB24AC">
        <w:rPr>
          <w:rFonts w:ascii="Century Schoolbook" w:hAnsi="Century Schoolbook"/>
        </w:rPr>
        <w:t xml:space="preserve"> and at the close of all the </w:t>
      </w:r>
      <w:r w:rsidR="00CB24AC">
        <w:rPr>
          <w:rFonts w:ascii="Century Schoolbook" w:hAnsi="Century Schoolbook"/>
        </w:rPr>
        <w:lastRenderedPageBreak/>
        <w:t>evidence.</w:t>
      </w:r>
      <w:r w:rsidR="00E82EE7">
        <w:rPr>
          <w:rFonts w:ascii="Century Schoolbook" w:hAnsi="Century Schoolbook"/>
        </w:rPr>
        <w:t xml:space="preserve">  We should also object to the </w:t>
      </w:r>
      <w:r w:rsidR="00B43E94">
        <w:rPr>
          <w:rFonts w:ascii="Century Schoolbook" w:hAnsi="Century Schoolbook"/>
        </w:rPr>
        <w:t xml:space="preserve">sufficiency of the redaction or sanitation </w:t>
      </w:r>
      <w:r w:rsidR="00141868">
        <w:rPr>
          <w:rFonts w:ascii="Century Schoolbook" w:hAnsi="Century Schoolbook"/>
        </w:rPr>
        <w:t xml:space="preserve">as well as the language of the limiting instruction.  </w:t>
      </w:r>
      <w:r w:rsidR="00987EA5">
        <w:rPr>
          <w:rFonts w:ascii="Century Schoolbook" w:hAnsi="Century Schoolbook"/>
        </w:rPr>
        <w:t>W</w:t>
      </w:r>
      <w:r w:rsidR="0064787D">
        <w:rPr>
          <w:rFonts w:ascii="Century Schoolbook" w:hAnsi="Century Schoolbook"/>
        </w:rPr>
        <w:t xml:space="preserve">e should ensure, as always, </w:t>
      </w:r>
      <w:r w:rsidR="00987EA5">
        <w:rPr>
          <w:rFonts w:ascii="Century Schoolbook" w:hAnsi="Century Schoolbook"/>
        </w:rPr>
        <w:t>that we preserve the record on appeal.</w:t>
      </w:r>
    </w:p>
    <w:p w14:paraId="1F14E5F8" w14:textId="77777777" w:rsidR="00CC760F" w:rsidRDefault="00CC760F" w:rsidP="00E3535E">
      <w:pPr>
        <w:spacing w:line="480" w:lineRule="auto"/>
        <w:jc w:val="both"/>
        <w:rPr>
          <w:rFonts w:ascii="Century Schoolbook" w:hAnsi="Century Schoolbook"/>
        </w:rPr>
      </w:pPr>
    </w:p>
    <w:p w14:paraId="2A6ECAF2" w14:textId="6E5855BE" w:rsidR="000C58A1" w:rsidRDefault="002137E2" w:rsidP="00E3535E">
      <w:pPr>
        <w:spacing w:line="480" w:lineRule="auto"/>
        <w:jc w:val="both"/>
        <w:rPr>
          <w:rFonts w:ascii="Century Schoolbook" w:hAnsi="Century Schoolbook"/>
        </w:rPr>
      </w:pPr>
      <w:r>
        <w:rPr>
          <w:rFonts w:ascii="Century Schoolbook" w:hAnsi="Century Schoolbook"/>
        </w:rPr>
        <w:t xml:space="preserve">CRAWFORD v. WASHINGTON, </w:t>
      </w:r>
      <w:r w:rsidR="00CC760F">
        <w:rPr>
          <w:rFonts w:ascii="Century Schoolbook" w:hAnsi="Century Schoolbook"/>
        </w:rPr>
        <w:t>541 U.S. 36 (2004)</w:t>
      </w:r>
    </w:p>
    <w:p w14:paraId="4B06F488" w14:textId="77777777" w:rsidR="00CC760F" w:rsidRDefault="00CC760F" w:rsidP="00E3535E">
      <w:pPr>
        <w:spacing w:line="480" w:lineRule="auto"/>
        <w:jc w:val="both"/>
        <w:rPr>
          <w:rFonts w:ascii="Century Schoolbook" w:hAnsi="Century Schoolbook"/>
        </w:rPr>
      </w:pPr>
    </w:p>
    <w:p w14:paraId="2AD0E26F" w14:textId="76ACAA97" w:rsidR="00A90172" w:rsidRDefault="00E35811" w:rsidP="00E3535E">
      <w:pPr>
        <w:spacing w:line="480" w:lineRule="auto"/>
        <w:jc w:val="both"/>
        <w:rPr>
          <w:rFonts w:ascii="Century Schoolbook" w:hAnsi="Century Schoolbook"/>
        </w:rPr>
      </w:pPr>
      <w:r>
        <w:rPr>
          <w:rFonts w:ascii="Century Schoolbook" w:hAnsi="Century Schoolbook"/>
        </w:rPr>
        <w:t>Since Bruton is a due process issue inherent in the Sixth Amendment’s Confrontation Clause</w:t>
      </w:r>
      <w:r w:rsidR="00C90E87">
        <w:rPr>
          <w:rFonts w:ascii="Century Schoolbook" w:hAnsi="Century Schoolbook"/>
        </w:rPr>
        <w:t>, it is appropriate to revisit the landmark case of Crawford v. Washington 18 years after it</w:t>
      </w:r>
      <w:r w:rsidR="00E63E99">
        <w:rPr>
          <w:rFonts w:ascii="Century Schoolbook" w:hAnsi="Century Schoolbook"/>
        </w:rPr>
        <w:t xml:space="preserve"> was</w:t>
      </w:r>
      <w:r w:rsidR="00695C76">
        <w:rPr>
          <w:rFonts w:ascii="Century Schoolbook" w:hAnsi="Century Schoolbook"/>
        </w:rPr>
        <w:t xml:space="preserve"> decided.</w:t>
      </w:r>
      <w:r w:rsidR="006E7250">
        <w:rPr>
          <w:rFonts w:ascii="Century Schoolbook" w:hAnsi="Century Schoolbook"/>
        </w:rPr>
        <w:t xml:space="preserve">  </w:t>
      </w:r>
      <w:r w:rsidR="00A90172">
        <w:rPr>
          <w:rFonts w:ascii="Century Schoolbook" w:hAnsi="Century Schoolbook"/>
        </w:rPr>
        <w:t>Prior to Crawford, the use of hearsay</w:t>
      </w:r>
      <w:r w:rsidR="007F4DA7">
        <w:rPr>
          <w:rFonts w:ascii="Century Schoolbook" w:hAnsi="Century Schoolbook"/>
        </w:rPr>
        <w:t xml:space="preserve"> exceptions</w:t>
      </w:r>
      <w:r w:rsidR="00050EA3">
        <w:rPr>
          <w:rFonts w:ascii="Century Schoolbook" w:hAnsi="Century Schoolbook"/>
        </w:rPr>
        <w:t xml:space="preserve"> and the so-called “guarantees of trustworthiness”</w:t>
      </w:r>
      <w:r w:rsidR="00EE05E5">
        <w:rPr>
          <w:rFonts w:ascii="Century Schoolbook" w:hAnsi="Century Schoolbook"/>
        </w:rPr>
        <w:t xml:space="preserve"> or “adequate indicia of reliability” </w:t>
      </w:r>
      <w:r w:rsidR="004F1891">
        <w:rPr>
          <w:rFonts w:ascii="Century Schoolbook" w:hAnsi="Century Schoolbook"/>
        </w:rPr>
        <w:t xml:space="preserve">catch-all </w:t>
      </w:r>
      <w:r w:rsidR="007F4DA7">
        <w:rPr>
          <w:rFonts w:ascii="Century Schoolbook" w:hAnsi="Century Schoolbook"/>
        </w:rPr>
        <w:t>exception</w:t>
      </w:r>
      <w:r w:rsidR="004F1891">
        <w:rPr>
          <w:rFonts w:ascii="Century Schoolbook" w:hAnsi="Century Schoolbook"/>
        </w:rPr>
        <w:t xml:space="preserve">s </w:t>
      </w:r>
      <w:r w:rsidR="00EE05E5">
        <w:rPr>
          <w:rFonts w:ascii="Century Schoolbook" w:hAnsi="Century Schoolbook"/>
        </w:rPr>
        <w:t xml:space="preserve">to the hearsay rule </w:t>
      </w:r>
      <w:r w:rsidR="00B0535E">
        <w:rPr>
          <w:rFonts w:ascii="Century Schoolbook" w:hAnsi="Century Schoolbook"/>
        </w:rPr>
        <w:t xml:space="preserve">in criminal trials had all but gutted </w:t>
      </w:r>
      <w:r w:rsidR="004772E7">
        <w:rPr>
          <w:rFonts w:ascii="Century Schoolbook" w:hAnsi="Century Schoolbook"/>
        </w:rPr>
        <w:t xml:space="preserve">a criminal defendant’s </w:t>
      </w:r>
      <w:r w:rsidR="00CF40B0">
        <w:rPr>
          <w:rFonts w:ascii="Century Schoolbook" w:hAnsi="Century Schoolbook"/>
        </w:rPr>
        <w:t xml:space="preserve">right to be confronted with and to </w:t>
      </w:r>
      <w:r w:rsidR="00775A1E">
        <w:rPr>
          <w:rFonts w:ascii="Century Schoolbook" w:hAnsi="Century Schoolbook"/>
        </w:rPr>
        <w:t>cross</w:t>
      </w:r>
      <w:r w:rsidR="00CF40B0">
        <w:rPr>
          <w:rFonts w:ascii="Century Schoolbook" w:hAnsi="Century Schoolbook"/>
        </w:rPr>
        <w:t xml:space="preserve">-examine the witnesses against him. </w:t>
      </w:r>
      <w:r w:rsidR="00851729">
        <w:rPr>
          <w:rFonts w:ascii="Century Schoolbook" w:hAnsi="Century Schoolbook"/>
        </w:rPr>
        <w:t xml:space="preserve"> </w:t>
      </w:r>
      <w:r w:rsidR="009908F9">
        <w:rPr>
          <w:rFonts w:ascii="Century Schoolbook" w:hAnsi="Century Schoolbook"/>
        </w:rPr>
        <w:t>Crawford</w:t>
      </w:r>
      <w:r w:rsidR="001142BA">
        <w:rPr>
          <w:rFonts w:ascii="Century Schoolbook" w:hAnsi="Century Schoolbook"/>
        </w:rPr>
        <w:t xml:space="preserve"> overruled Ohio v Roberts ___ U.S. ___, and </w:t>
      </w:r>
      <w:r w:rsidR="00DF6B1F">
        <w:rPr>
          <w:rFonts w:ascii="Century Schoolbook" w:hAnsi="Century Schoolbook"/>
        </w:rPr>
        <w:t>rescued</w:t>
      </w:r>
      <w:r w:rsidR="00884179">
        <w:rPr>
          <w:rFonts w:ascii="Century Schoolbook" w:hAnsi="Century Schoolbook"/>
        </w:rPr>
        <w:t xml:space="preserve"> </w:t>
      </w:r>
      <w:r w:rsidR="009908F9">
        <w:rPr>
          <w:rFonts w:ascii="Century Schoolbook" w:hAnsi="Century Schoolbook"/>
        </w:rPr>
        <w:t xml:space="preserve">the right of confrontation and cross-examination </w:t>
      </w:r>
      <w:r w:rsidR="00C75520">
        <w:rPr>
          <w:rFonts w:ascii="Century Schoolbook" w:hAnsi="Century Schoolbook"/>
        </w:rPr>
        <w:t xml:space="preserve">under the Sixth Amendment </w:t>
      </w:r>
      <w:r w:rsidR="009908F9">
        <w:rPr>
          <w:rFonts w:ascii="Century Schoolbook" w:hAnsi="Century Schoolbook"/>
        </w:rPr>
        <w:t>that decades of</w:t>
      </w:r>
      <w:r w:rsidR="00C75520">
        <w:rPr>
          <w:rFonts w:ascii="Century Schoolbook" w:hAnsi="Century Schoolbook"/>
        </w:rPr>
        <w:t xml:space="preserve"> </w:t>
      </w:r>
      <w:r w:rsidR="007C63C5">
        <w:rPr>
          <w:rFonts w:ascii="Century Schoolbook" w:hAnsi="Century Schoolbook"/>
        </w:rPr>
        <w:t>judicial</w:t>
      </w:r>
      <w:r w:rsidR="00884179">
        <w:rPr>
          <w:rFonts w:ascii="Century Schoolbook" w:hAnsi="Century Schoolbook"/>
        </w:rPr>
        <w:t xml:space="preserve"> interference had stripped from </w:t>
      </w:r>
      <w:r w:rsidR="00C75520">
        <w:rPr>
          <w:rFonts w:ascii="Century Schoolbook" w:hAnsi="Century Schoolbook"/>
        </w:rPr>
        <w:t xml:space="preserve">the criminal defendant. </w:t>
      </w:r>
      <w:r w:rsidR="007C63C5">
        <w:rPr>
          <w:rFonts w:ascii="Century Schoolbook" w:hAnsi="Century Schoolbook"/>
        </w:rPr>
        <w:t xml:space="preserve"> </w:t>
      </w:r>
      <w:r w:rsidR="009908F9">
        <w:rPr>
          <w:rFonts w:ascii="Century Schoolbook" w:hAnsi="Century Schoolbook"/>
        </w:rPr>
        <w:t xml:space="preserve"> </w:t>
      </w:r>
      <w:r w:rsidR="00CF40B0">
        <w:rPr>
          <w:rFonts w:ascii="Century Schoolbook" w:hAnsi="Century Schoolbook"/>
        </w:rPr>
        <w:t xml:space="preserve"> </w:t>
      </w:r>
    </w:p>
    <w:p w14:paraId="6BC0B7A3" w14:textId="77777777" w:rsidR="006E7250" w:rsidRDefault="006E7250" w:rsidP="00E3535E">
      <w:pPr>
        <w:spacing w:line="480" w:lineRule="auto"/>
        <w:jc w:val="both"/>
        <w:rPr>
          <w:rFonts w:ascii="Century Schoolbook" w:hAnsi="Century Schoolbook"/>
        </w:rPr>
      </w:pPr>
    </w:p>
    <w:p w14:paraId="7934082D" w14:textId="10395498" w:rsidR="008D5EDD" w:rsidRDefault="006E7250" w:rsidP="00E3535E">
      <w:pPr>
        <w:spacing w:line="480" w:lineRule="auto"/>
        <w:jc w:val="both"/>
        <w:rPr>
          <w:rFonts w:ascii="Century Schoolbook" w:hAnsi="Century Schoolbook"/>
        </w:rPr>
      </w:pPr>
      <w:r>
        <w:rPr>
          <w:rFonts w:ascii="Century Schoolbook" w:hAnsi="Century Schoolbook"/>
        </w:rPr>
        <w:t xml:space="preserve">The Crawford opinion </w:t>
      </w:r>
      <w:r w:rsidR="005024C9">
        <w:rPr>
          <w:rFonts w:ascii="Century Schoolbook" w:hAnsi="Century Schoolbook"/>
        </w:rPr>
        <w:t xml:space="preserve">gives us a fascinating history of the </w:t>
      </w:r>
      <w:r w:rsidR="00E723DE">
        <w:rPr>
          <w:rFonts w:ascii="Century Schoolbook" w:hAnsi="Century Schoolbook"/>
        </w:rPr>
        <w:t xml:space="preserve">right to be confronted with one’s accusers.  While the principle dates back to </w:t>
      </w:r>
      <w:r w:rsidR="00893168">
        <w:rPr>
          <w:rFonts w:ascii="Century Schoolbook" w:hAnsi="Century Schoolbook"/>
        </w:rPr>
        <w:t xml:space="preserve">Ancient </w:t>
      </w:r>
      <w:r w:rsidR="00E723DE">
        <w:rPr>
          <w:rFonts w:ascii="Century Schoolbook" w:hAnsi="Century Schoolbook"/>
        </w:rPr>
        <w:t>Roman times</w:t>
      </w:r>
      <w:r w:rsidR="00893168">
        <w:rPr>
          <w:rFonts w:ascii="Century Schoolbook" w:hAnsi="Century Schoolbook"/>
        </w:rPr>
        <w:t xml:space="preserve">, the founders of our country and the authors of the Constitution </w:t>
      </w:r>
      <w:r w:rsidR="00515331">
        <w:rPr>
          <w:rFonts w:ascii="Century Schoolbook" w:hAnsi="Century Schoolbook"/>
        </w:rPr>
        <w:t>relied on the English Common Law to arrive at what</w:t>
      </w:r>
      <w:r w:rsidR="00B60DAB">
        <w:rPr>
          <w:rFonts w:ascii="Century Schoolbook" w:hAnsi="Century Schoolbook"/>
        </w:rPr>
        <w:t xml:space="preserve"> would </w:t>
      </w:r>
      <w:r w:rsidR="00515331">
        <w:rPr>
          <w:rFonts w:ascii="Century Schoolbook" w:hAnsi="Century Schoolbook"/>
        </w:rPr>
        <w:t xml:space="preserve">ultimately </w:t>
      </w:r>
      <w:r w:rsidR="009A27AF">
        <w:rPr>
          <w:rFonts w:ascii="Century Schoolbook" w:hAnsi="Century Schoolbook"/>
        </w:rPr>
        <w:t>become</w:t>
      </w:r>
      <w:r w:rsidR="00515331">
        <w:rPr>
          <w:rFonts w:ascii="Century Schoolbook" w:hAnsi="Century Schoolbook"/>
        </w:rPr>
        <w:t xml:space="preserve"> the</w:t>
      </w:r>
      <w:r w:rsidR="008638BD">
        <w:rPr>
          <w:rFonts w:ascii="Century Schoolbook" w:hAnsi="Century Schoolbook"/>
        </w:rPr>
        <w:t xml:space="preserve"> Confrontation Clause </w:t>
      </w:r>
      <w:r w:rsidR="008D5EDD">
        <w:rPr>
          <w:rFonts w:ascii="Century Schoolbook" w:hAnsi="Century Schoolbook"/>
        </w:rPr>
        <w:t>in the Sixth Amendment:</w:t>
      </w:r>
    </w:p>
    <w:p w14:paraId="6C5B1459" w14:textId="77777777" w:rsidR="008D5EDD" w:rsidRDefault="008D5EDD" w:rsidP="00E3535E">
      <w:pPr>
        <w:spacing w:line="480" w:lineRule="auto"/>
        <w:jc w:val="both"/>
        <w:rPr>
          <w:rFonts w:ascii="Century Schoolbook" w:hAnsi="Century Schoolbook"/>
        </w:rPr>
      </w:pPr>
    </w:p>
    <w:p w14:paraId="43CD2FF2" w14:textId="00783D84" w:rsidR="00A12ED7" w:rsidRDefault="002D719D" w:rsidP="00E3535E">
      <w:pPr>
        <w:ind w:left="720"/>
        <w:jc w:val="both"/>
        <w:rPr>
          <w:rFonts w:ascii="Century Schoolbook" w:hAnsi="Century Schoolbook"/>
        </w:rPr>
      </w:pPr>
      <w:r>
        <w:rPr>
          <w:rFonts w:ascii="Century Schoolbook" w:hAnsi="Century Schoolbook"/>
        </w:rPr>
        <w:lastRenderedPageBreak/>
        <w:t xml:space="preserve">English Common Law has long </w:t>
      </w:r>
      <w:r w:rsidR="009D050E">
        <w:rPr>
          <w:rFonts w:ascii="Century Schoolbook" w:hAnsi="Century Schoolbook"/>
        </w:rPr>
        <w:t xml:space="preserve">differed from continental civil law in regard to the manner in which </w:t>
      </w:r>
      <w:r w:rsidR="006B50D3">
        <w:rPr>
          <w:rFonts w:ascii="Century Schoolbook" w:hAnsi="Century Schoolbook"/>
        </w:rPr>
        <w:t xml:space="preserve">witnesses give testimony in criminal trials.  The Common law tradition </w:t>
      </w:r>
      <w:r w:rsidR="007940A5">
        <w:rPr>
          <w:rFonts w:ascii="Century Schoolbook" w:hAnsi="Century Schoolbook"/>
        </w:rPr>
        <w:t xml:space="preserve">is one of live testimony in court subject </w:t>
      </w:r>
      <w:r w:rsidR="00503B1B">
        <w:rPr>
          <w:rFonts w:ascii="Century Schoolbook" w:hAnsi="Century Schoolbook"/>
        </w:rPr>
        <w:t>to adversarial testing</w:t>
      </w:r>
      <w:r w:rsidR="00594DCE">
        <w:rPr>
          <w:rFonts w:ascii="Century Schoolbook" w:hAnsi="Century Schoolbook"/>
        </w:rPr>
        <w:t xml:space="preserve">, while the civil law condones examination in private by </w:t>
      </w:r>
      <w:r w:rsidR="00796DBD">
        <w:rPr>
          <w:rFonts w:ascii="Century Schoolbook" w:hAnsi="Century Schoolbook"/>
        </w:rPr>
        <w:t>judicial officers.  See 3 W. Blackstone, Commentaries on the law</w:t>
      </w:r>
      <w:r w:rsidR="005763BA">
        <w:rPr>
          <w:rFonts w:ascii="Century Schoolbook" w:hAnsi="Century Schoolbook"/>
        </w:rPr>
        <w:t>s of England, 373-374 (1768).  Crawford at ___.</w:t>
      </w:r>
    </w:p>
    <w:p w14:paraId="1FDCA88D" w14:textId="77777777" w:rsidR="00D52E41" w:rsidRDefault="00D52E41" w:rsidP="00E3535E">
      <w:pPr>
        <w:ind w:left="720"/>
        <w:jc w:val="both"/>
        <w:rPr>
          <w:rFonts w:ascii="Century Schoolbook" w:hAnsi="Century Schoolbook"/>
        </w:rPr>
      </w:pPr>
    </w:p>
    <w:p w14:paraId="50EBA1C7" w14:textId="77777777" w:rsidR="009A27AF" w:rsidRDefault="009A27AF" w:rsidP="00E3535E">
      <w:pPr>
        <w:spacing w:line="480" w:lineRule="auto"/>
        <w:jc w:val="both"/>
        <w:rPr>
          <w:rFonts w:ascii="Century Schoolbook" w:hAnsi="Century Schoolbook"/>
        </w:rPr>
      </w:pPr>
    </w:p>
    <w:p w14:paraId="5799587F" w14:textId="205337E1" w:rsidR="00915B29" w:rsidRDefault="00E46D48" w:rsidP="00E3535E">
      <w:pPr>
        <w:spacing w:line="480" w:lineRule="auto"/>
        <w:jc w:val="both"/>
        <w:rPr>
          <w:rFonts w:ascii="Century Schoolbook" w:hAnsi="Century Schoolbook"/>
        </w:rPr>
      </w:pPr>
      <w:r>
        <w:rPr>
          <w:rFonts w:ascii="Century Schoolbook" w:hAnsi="Century Schoolbook"/>
        </w:rPr>
        <w:t xml:space="preserve">However, there were occasions when English courts adopted elements </w:t>
      </w:r>
      <w:r w:rsidR="00F6147C">
        <w:rPr>
          <w:rFonts w:ascii="Century Schoolbook" w:hAnsi="Century Schoolbook"/>
        </w:rPr>
        <w:t xml:space="preserve">of the civil law practice.  The most famous – or </w:t>
      </w:r>
      <w:r w:rsidR="00824FAA">
        <w:rPr>
          <w:rFonts w:ascii="Century Schoolbook" w:hAnsi="Century Schoolbook"/>
        </w:rPr>
        <w:t>infamous</w:t>
      </w:r>
      <w:r w:rsidR="00F6147C">
        <w:rPr>
          <w:rFonts w:ascii="Century Schoolbook" w:hAnsi="Century Schoolbook"/>
        </w:rPr>
        <w:t xml:space="preserve"> - of these </w:t>
      </w:r>
      <w:r w:rsidR="00696C99">
        <w:rPr>
          <w:rFonts w:ascii="Century Schoolbook" w:hAnsi="Century Schoolbook"/>
        </w:rPr>
        <w:t xml:space="preserve">was the 1603 trial of </w:t>
      </w:r>
      <w:r w:rsidR="00E7119E">
        <w:rPr>
          <w:rFonts w:ascii="Century Schoolbook" w:hAnsi="Century Schoolbook"/>
        </w:rPr>
        <w:t xml:space="preserve">North Carolina’s </w:t>
      </w:r>
      <w:r w:rsidR="00696C99">
        <w:rPr>
          <w:rFonts w:ascii="Century Schoolbook" w:hAnsi="Century Schoolbook"/>
        </w:rPr>
        <w:t>capital’s namesake</w:t>
      </w:r>
      <w:r w:rsidR="00F31E8E">
        <w:rPr>
          <w:rFonts w:ascii="Century Schoolbook" w:hAnsi="Century Schoolbook"/>
        </w:rPr>
        <w:t>,</w:t>
      </w:r>
      <w:r w:rsidR="00696C99">
        <w:rPr>
          <w:rFonts w:ascii="Century Schoolbook" w:hAnsi="Century Schoolbook"/>
        </w:rPr>
        <w:t xml:space="preserve"> Sir Walter Raleigh. </w:t>
      </w:r>
      <w:r w:rsidR="00C148F7">
        <w:rPr>
          <w:rFonts w:ascii="Century Schoolbook" w:hAnsi="Century Schoolbook"/>
        </w:rPr>
        <w:t xml:space="preserve"> 1603 was the year that Elizabeth I of England </w:t>
      </w:r>
      <w:r w:rsidR="00854B8B">
        <w:rPr>
          <w:rFonts w:ascii="Century Schoolbook" w:hAnsi="Century Schoolbook"/>
        </w:rPr>
        <w:t xml:space="preserve">- the Virgin Queen - </w:t>
      </w:r>
      <w:r w:rsidR="00C148F7">
        <w:rPr>
          <w:rFonts w:ascii="Century Schoolbook" w:hAnsi="Century Schoolbook"/>
        </w:rPr>
        <w:t xml:space="preserve">died </w:t>
      </w:r>
      <w:r w:rsidR="00854B8B">
        <w:rPr>
          <w:rFonts w:ascii="Century Schoolbook" w:hAnsi="Century Schoolbook"/>
        </w:rPr>
        <w:t xml:space="preserve">without issue.  She was succeeded </w:t>
      </w:r>
      <w:r w:rsidR="00F31E8E">
        <w:rPr>
          <w:rFonts w:ascii="Century Schoolbook" w:hAnsi="Century Schoolbook"/>
        </w:rPr>
        <w:t>to the throne of England by</w:t>
      </w:r>
      <w:r w:rsidR="00854B8B">
        <w:rPr>
          <w:rFonts w:ascii="Century Schoolbook" w:hAnsi="Century Schoolbook"/>
        </w:rPr>
        <w:t xml:space="preserve"> her nephew, Mary Queen of Scots’ son, James VI of Scotland</w:t>
      </w:r>
      <w:r w:rsidR="009A2BF6">
        <w:rPr>
          <w:rFonts w:ascii="Century Schoolbook" w:hAnsi="Century Schoolbook"/>
        </w:rPr>
        <w:t>, wh</w:t>
      </w:r>
      <w:r w:rsidR="00F31E8E">
        <w:rPr>
          <w:rFonts w:ascii="Century Schoolbook" w:hAnsi="Century Schoolbook"/>
        </w:rPr>
        <w:t xml:space="preserve">o </w:t>
      </w:r>
      <w:r w:rsidR="009A2BF6">
        <w:rPr>
          <w:rFonts w:ascii="Century Schoolbook" w:hAnsi="Century Schoolbook"/>
        </w:rPr>
        <w:t>became James I of England</w:t>
      </w:r>
      <w:r w:rsidR="00A42DB9">
        <w:rPr>
          <w:rFonts w:ascii="Century Schoolbook" w:hAnsi="Century Schoolbook"/>
        </w:rPr>
        <w:t xml:space="preserve"> as well as James VI of Scotland</w:t>
      </w:r>
      <w:r w:rsidR="009A2BF6">
        <w:rPr>
          <w:rFonts w:ascii="Century Schoolbook" w:hAnsi="Century Schoolbook"/>
        </w:rPr>
        <w:t xml:space="preserve"> – fulfilling Edward I’s and so many of his successors’ desire for one monarch to sit on both thrones (although I doubt any of them envisioned </w:t>
      </w:r>
      <w:r w:rsidR="00764268">
        <w:rPr>
          <w:rFonts w:ascii="Century Schoolbook" w:hAnsi="Century Schoolbook"/>
        </w:rPr>
        <w:t>it being a</w:t>
      </w:r>
      <w:r w:rsidR="009A2BF6">
        <w:rPr>
          <w:rFonts w:ascii="Century Schoolbook" w:hAnsi="Century Schoolbook"/>
        </w:rPr>
        <w:t xml:space="preserve"> Scottish king taking over the English throne)</w:t>
      </w:r>
      <w:r w:rsidR="00915B29">
        <w:rPr>
          <w:rFonts w:ascii="Century Schoolbook" w:hAnsi="Century Schoolbook"/>
        </w:rPr>
        <w:t>.</w:t>
      </w:r>
    </w:p>
    <w:p w14:paraId="589925D3" w14:textId="77777777" w:rsidR="00915B29" w:rsidRDefault="00915B29" w:rsidP="00E3535E">
      <w:pPr>
        <w:spacing w:line="480" w:lineRule="auto"/>
        <w:jc w:val="both"/>
        <w:rPr>
          <w:rFonts w:ascii="Century Schoolbook" w:hAnsi="Century Schoolbook"/>
        </w:rPr>
      </w:pPr>
    </w:p>
    <w:p w14:paraId="4D119935" w14:textId="784B728D" w:rsidR="009A27AF" w:rsidRDefault="00915B29" w:rsidP="00E3535E">
      <w:pPr>
        <w:spacing w:line="480" w:lineRule="auto"/>
        <w:jc w:val="both"/>
        <w:rPr>
          <w:rFonts w:ascii="Century Schoolbook" w:hAnsi="Century Schoolbook"/>
        </w:rPr>
      </w:pPr>
      <w:r>
        <w:rPr>
          <w:rFonts w:ascii="Century Schoolbook" w:hAnsi="Century Schoolbook"/>
        </w:rPr>
        <w:t xml:space="preserve">While Raleigh had been an on-again-off-again </w:t>
      </w:r>
      <w:r w:rsidR="00A42DB9">
        <w:rPr>
          <w:rFonts w:ascii="Century Schoolbook" w:hAnsi="Century Schoolbook"/>
        </w:rPr>
        <w:t>favorite</w:t>
      </w:r>
      <w:r>
        <w:rPr>
          <w:rFonts w:ascii="Century Schoolbook" w:hAnsi="Century Schoolbook"/>
        </w:rPr>
        <w:t xml:space="preserve"> of Eli</w:t>
      </w:r>
      <w:r w:rsidR="008F0E10">
        <w:rPr>
          <w:rFonts w:ascii="Century Schoolbook" w:hAnsi="Century Schoolbook"/>
        </w:rPr>
        <w:t>z</w:t>
      </w:r>
      <w:r>
        <w:rPr>
          <w:rFonts w:ascii="Century Schoolbook" w:hAnsi="Century Schoolbook"/>
        </w:rPr>
        <w:t xml:space="preserve">abeth’s </w:t>
      </w:r>
      <w:r w:rsidR="008F0E10">
        <w:rPr>
          <w:rFonts w:ascii="Century Schoolbook" w:hAnsi="Century Schoolbook"/>
        </w:rPr>
        <w:t xml:space="preserve">, he enjoyed no such </w:t>
      </w:r>
      <w:r w:rsidR="00A42DB9">
        <w:rPr>
          <w:rFonts w:ascii="Century Schoolbook" w:hAnsi="Century Schoolbook"/>
        </w:rPr>
        <w:t>favoritism</w:t>
      </w:r>
      <w:r>
        <w:rPr>
          <w:rFonts w:ascii="Century Schoolbook" w:hAnsi="Century Schoolbook"/>
        </w:rPr>
        <w:t xml:space="preserve"> </w:t>
      </w:r>
      <w:r w:rsidR="008F0E10">
        <w:rPr>
          <w:rFonts w:ascii="Century Schoolbook" w:hAnsi="Century Schoolbook"/>
        </w:rPr>
        <w:t xml:space="preserve">from James.  Raleigh was implicated in a plot </w:t>
      </w:r>
      <w:r w:rsidR="00DB621C">
        <w:rPr>
          <w:rFonts w:ascii="Century Schoolbook" w:hAnsi="Century Schoolbook"/>
        </w:rPr>
        <w:t xml:space="preserve">to overthrow James; he was charged, </w:t>
      </w:r>
      <w:r w:rsidR="006347C6">
        <w:rPr>
          <w:rFonts w:ascii="Century Schoolbook" w:hAnsi="Century Schoolbook"/>
        </w:rPr>
        <w:t xml:space="preserve">tried, </w:t>
      </w:r>
      <w:r w:rsidR="00DB621C">
        <w:rPr>
          <w:rFonts w:ascii="Century Schoolbook" w:hAnsi="Century Schoolbook"/>
        </w:rPr>
        <w:t>convicted of treason</w:t>
      </w:r>
      <w:r w:rsidR="006347C6">
        <w:rPr>
          <w:rFonts w:ascii="Century Schoolbook" w:hAnsi="Century Schoolbook"/>
        </w:rPr>
        <w:t xml:space="preserve"> and sentenced to death</w:t>
      </w:r>
      <w:r w:rsidR="00DB621C">
        <w:rPr>
          <w:rFonts w:ascii="Century Schoolbook" w:hAnsi="Century Schoolbook"/>
        </w:rPr>
        <w:t xml:space="preserve"> for it</w:t>
      </w:r>
      <w:r w:rsidR="006347C6">
        <w:rPr>
          <w:rFonts w:ascii="Century Schoolbook" w:hAnsi="Century Schoolbook"/>
        </w:rPr>
        <w:t>.  A</w:t>
      </w:r>
      <w:r w:rsidR="00DB621C">
        <w:rPr>
          <w:rFonts w:ascii="Century Schoolbook" w:hAnsi="Century Schoolbook"/>
        </w:rPr>
        <w:t>nd</w:t>
      </w:r>
      <w:r w:rsidR="006347C6">
        <w:rPr>
          <w:rFonts w:ascii="Century Schoolbook" w:hAnsi="Century Schoolbook"/>
        </w:rPr>
        <w:t>,</w:t>
      </w:r>
      <w:r w:rsidR="00DB621C">
        <w:rPr>
          <w:rFonts w:ascii="Century Schoolbook" w:hAnsi="Century Schoolbook"/>
        </w:rPr>
        <w:t xml:space="preserve"> in what must be one of the longest PJC’s in</w:t>
      </w:r>
      <w:r w:rsidR="006347C6">
        <w:rPr>
          <w:rFonts w:ascii="Century Schoolbook" w:hAnsi="Century Schoolbook"/>
        </w:rPr>
        <w:t xml:space="preserve"> history, </w:t>
      </w:r>
      <w:r w:rsidR="0078402C">
        <w:rPr>
          <w:rFonts w:ascii="Century Schoolbook" w:hAnsi="Century Schoolbook"/>
        </w:rPr>
        <w:t xml:space="preserve">Raleigh </w:t>
      </w:r>
      <w:r w:rsidR="006347C6">
        <w:rPr>
          <w:rFonts w:ascii="Century Schoolbook" w:hAnsi="Century Schoolbook"/>
        </w:rPr>
        <w:t xml:space="preserve">spent the next 13 years </w:t>
      </w:r>
      <w:r w:rsidR="0078402C">
        <w:rPr>
          <w:rFonts w:ascii="Century Schoolbook" w:hAnsi="Century Schoolbook"/>
        </w:rPr>
        <w:t xml:space="preserve">living </w:t>
      </w:r>
      <w:r w:rsidR="006347C6">
        <w:rPr>
          <w:rFonts w:ascii="Century Schoolbook" w:hAnsi="Century Schoolbook"/>
        </w:rPr>
        <w:t>in the Tower of London.</w:t>
      </w:r>
      <w:r w:rsidR="00DB621C">
        <w:rPr>
          <w:rFonts w:ascii="Century Schoolbook" w:hAnsi="Century Schoolbook"/>
        </w:rPr>
        <w:t xml:space="preserve"> </w:t>
      </w:r>
      <w:r w:rsidR="0078402C">
        <w:rPr>
          <w:rFonts w:ascii="Century Schoolbook" w:hAnsi="Century Schoolbook"/>
        </w:rPr>
        <w:t xml:space="preserve">James then released Raleigh, and encouraged </w:t>
      </w:r>
      <w:r w:rsidR="003E7B51">
        <w:rPr>
          <w:rFonts w:ascii="Century Schoolbook" w:hAnsi="Century Schoolbook"/>
        </w:rPr>
        <w:t>him</w:t>
      </w:r>
      <w:r w:rsidR="0078402C">
        <w:rPr>
          <w:rFonts w:ascii="Century Schoolbook" w:hAnsi="Century Schoolbook"/>
        </w:rPr>
        <w:t xml:space="preserve"> to find the non-existent El Dorado.</w:t>
      </w:r>
      <w:r w:rsidR="00DB621C">
        <w:rPr>
          <w:rFonts w:ascii="Century Schoolbook" w:hAnsi="Century Schoolbook"/>
        </w:rPr>
        <w:t xml:space="preserve"> </w:t>
      </w:r>
      <w:r w:rsidR="0078402C">
        <w:rPr>
          <w:rFonts w:ascii="Century Schoolbook" w:hAnsi="Century Schoolbook"/>
        </w:rPr>
        <w:t xml:space="preserve"> While on this expedition, Raleigh’s men </w:t>
      </w:r>
      <w:r w:rsidR="009F5F30">
        <w:rPr>
          <w:rFonts w:ascii="Century Schoolbook" w:hAnsi="Century Schoolbook"/>
        </w:rPr>
        <w:t>attacked a Spanish outpost</w:t>
      </w:r>
      <w:r w:rsidR="00854B8B">
        <w:rPr>
          <w:rFonts w:ascii="Century Schoolbook" w:hAnsi="Century Schoolbook"/>
        </w:rPr>
        <w:t xml:space="preserve"> </w:t>
      </w:r>
      <w:r w:rsidR="009F5F30">
        <w:rPr>
          <w:rFonts w:ascii="Century Schoolbook" w:hAnsi="Century Schoolbook"/>
        </w:rPr>
        <w:t>having been given no such orders to do so</w:t>
      </w:r>
      <w:r w:rsidR="00354EB1">
        <w:rPr>
          <w:rFonts w:ascii="Century Schoolbook" w:hAnsi="Century Schoolbook"/>
        </w:rPr>
        <w:t xml:space="preserve"> (tragically Raleigh’s son died in the skirmish)</w:t>
      </w:r>
      <w:r w:rsidR="009F5F30">
        <w:rPr>
          <w:rFonts w:ascii="Century Schoolbook" w:hAnsi="Century Schoolbook"/>
        </w:rPr>
        <w:t xml:space="preserve">. </w:t>
      </w:r>
      <w:r w:rsidR="00933863">
        <w:rPr>
          <w:rFonts w:ascii="Century Schoolbook" w:hAnsi="Century Schoolbook"/>
        </w:rPr>
        <w:t xml:space="preserve"> Both England and Scotland were at peace with Spain at the </w:t>
      </w:r>
      <w:r w:rsidR="00933863">
        <w:rPr>
          <w:rFonts w:ascii="Century Schoolbook" w:hAnsi="Century Schoolbook"/>
        </w:rPr>
        <w:lastRenderedPageBreak/>
        <w:t>time</w:t>
      </w:r>
      <w:r w:rsidR="00354EB1">
        <w:rPr>
          <w:rFonts w:ascii="Century Schoolbook" w:hAnsi="Century Schoolbook"/>
        </w:rPr>
        <w:t xml:space="preserve">. </w:t>
      </w:r>
      <w:r w:rsidR="00933863">
        <w:rPr>
          <w:rFonts w:ascii="Century Schoolbook" w:hAnsi="Century Schoolbook"/>
        </w:rPr>
        <w:t xml:space="preserve"> Spain complained to James; James prayed judgment in Raleigh’s sentence; and on October 29, 1618</w:t>
      </w:r>
      <w:r w:rsidR="00354EB1">
        <w:rPr>
          <w:rFonts w:ascii="Century Schoolbook" w:hAnsi="Century Schoolbook"/>
        </w:rPr>
        <w:t>, Raleigh was led to the block and beheaded.</w:t>
      </w:r>
      <w:r w:rsidR="00933863">
        <w:rPr>
          <w:rFonts w:ascii="Century Schoolbook" w:hAnsi="Century Schoolbook"/>
        </w:rPr>
        <w:t xml:space="preserve"> </w:t>
      </w:r>
    </w:p>
    <w:p w14:paraId="01768F07" w14:textId="3C59A023" w:rsidR="008B654D" w:rsidRDefault="008B654D" w:rsidP="00E3535E">
      <w:pPr>
        <w:spacing w:line="480" w:lineRule="auto"/>
        <w:jc w:val="both"/>
        <w:rPr>
          <w:rFonts w:ascii="Century Schoolbook" w:hAnsi="Century Schoolbook"/>
        </w:rPr>
      </w:pPr>
    </w:p>
    <w:p w14:paraId="55613914" w14:textId="4F40F2BF" w:rsidR="008B654D" w:rsidRDefault="008B654D" w:rsidP="00E3535E">
      <w:pPr>
        <w:spacing w:line="480" w:lineRule="auto"/>
        <w:jc w:val="both"/>
        <w:rPr>
          <w:rFonts w:ascii="Century Schoolbook" w:hAnsi="Century Schoolbook"/>
        </w:rPr>
      </w:pPr>
      <w:r>
        <w:rPr>
          <w:rFonts w:ascii="Century Schoolbook" w:hAnsi="Century Schoolbook"/>
        </w:rPr>
        <w:t xml:space="preserve">At his trial in 1603, Raleigh represented himself.  </w:t>
      </w:r>
      <w:r w:rsidR="007F4CD9">
        <w:rPr>
          <w:rFonts w:ascii="Century Schoolbook" w:hAnsi="Century Schoolbook"/>
        </w:rPr>
        <w:t xml:space="preserve">Prior to the trial, </w:t>
      </w:r>
      <w:r>
        <w:rPr>
          <w:rFonts w:ascii="Century Schoolbook" w:hAnsi="Century Schoolbook"/>
        </w:rPr>
        <w:t xml:space="preserve">Raleigh’s </w:t>
      </w:r>
    </w:p>
    <w:p w14:paraId="46FAC190" w14:textId="6D4062EF" w:rsidR="00A42DB9" w:rsidRDefault="007F4CD9" w:rsidP="00E3535E">
      <w:pPr>
        <w:spacing w:line="480" w:lineRule="auto"/>
        <w:jc w:val="both"/>
        <w:rPr>
          <w:rFonts w:ascii="Century Schoolbook" w:hAnsi="Century Schoolbook"/>
        </w:rPr>
      </w:pPr>
      <w:r>
        <w:rPr>
          <w:rFonts w:ascii="Century Schoolbook" w:hAnsi="Century Schoolbook"/>
        </w:rPr>
        <w:t>a</w:t>
      </w:r>
      <w:r w:rsidR="008B654D">
        <w:rPr>
          <w:rFonts w:ascii="Century Schoolbook" w:hAnsi="Century Schoolbook"/>
        </w:rPr>
        <w:t>lleged accomplice</w:t>
      </w:r>
      <w:r>
        <w:rPr>
          <w:rFonts w:ascii="Century Schoolbook" w:hAnsi="Century Schoolbook"/>
        </w:rPr>
        <w:t xml:space="preserve">, Lord Cobham, </w:t>
      </w:r>
      <w:r w:rsidR="00756274">
        <w:rPr>
          <w:rFonts w:ascii="Century Schoolbook" w:hAnsi="Century Schoolbook"/>
        </w:rPr>
        <w:t xml:space="preserve">had </w:t>
      </w:r>
      <w:r w:rsidR="004F7103">
        <w:rPr>
          <w:rFonts w:ascii="Century Schoolbook" w:hAnsi="Century Schoolbook"/>
        </w:rPr>
        <w:t xml:space="preserve">implicated Raleigh in the plot in an examination before the Privy Council and in a separate letter. </w:t>
      </w:r>
      <w:r w:rsidR="00191DD5">
        <w:rPr>
          <w:rFonts w:ascii="Century Schoolbook" w:hAnsi="Century Schoolbook"/>
        </w:rPr>
        <w:t xml:space="preserve"> At the trial,</w:t>
      </w:r>
      <w:r w:rsidR="004F7103">
        <w:rPr>
          <w:rFonts w:ascii="Century Schoolbook" w:hAnsi="Century Schoolbook"/>
        </w:rPr>
        <w:t xml:space="preserve"> Cobham’s statement and letter were read to the jury.  </w:t>
      </w:r>
      <w:r w:rsidR="00156C01">
        <w:rPr>
          <w:rFonts w:ascii="Century Schoolbook" w:hAnsi="Century Schoolbook"/>
        </w:rPr>
        <w:t xml:space="preserve">Raleigh demanded that the judges call Cobham to appear, arguing that “the proof of the Common Law is by witness </w:t>
      </w:r>
      <w:r w:rsidR="00C93CD8">
        <w:rPr>
          <w:rFonts w:ascii="Century Schoolbook" w:hAnsi="Century Schoolbook"/>
        </w:rPr>
        <w:t>and jury: let Cobham be here, let him speak it.  Call my accuser before my face.”  2 How. St. Tr., at 15-16.</w:t>
      </w:r>
      <w:r w:rsidR="0056341F">
        <w:rPr>
          <w:rFonts w:ascii="Century Schoolbook" w:hAnsi="Century Schoolbook"/>
        </w:rPr>
        <w:t xml:space="preserve">  The judges refused, the jury convicted, and Raleigh was sentenced to death upon </w:t>
      </w:r>
      <w:r w:rsidR="00E91A34">
        <w:rPr>
          <w:rFonts w:ascii="Century Schoolbook" w:hAnsi="Century Schoolbook"/>
        </w:rPr>
        <w:t>an</w:t>
      </w:r>
      <w:r w:rsidR="0056341F">
        <w:rPr>
          <w:rFonts w:ascii="Century Schoolbook" w:hAnsi="Century Schoolbook"/>
        </w:rPr>
        <w:t xml:space="preserve"> out-of-court statement not subject to cross-examination</w:t>
      </w:r>
      <w:r w:rsidR="00E91A34">
        <w:rPr>
          <w:rFonts w:ascii="Century Schoolbook" w:hAnsi="Century Schoolbook"/>
        </w:rPr>
        <w:t xml:space="preserve"> either at the time the statement was made or at the trial.</w:t>
      </w:r>
      <w:r w:rsidR="0056341F">
        <w:rPr>
          <w:rFonts w:ascii="Century Schoolbook" w:hAnsi="Century Schoolbook"/>
        </w:rPr>
        <w:t xml:space="preserve">  </w:t>
      </w:r>
      <w:r w:rsidR="00E91A34">
        <w:rPr>
          <w:rFonts w:ascii="Century Schoolbook" w:hAnsi="Century Schoolbook"/>
        </w:rPr>
        <w:t xml:space="preserve">One of Raleigh’s trial judges </w:t>
      </w:r>
      <w:r w:rsidR="00525C2F">
        <w:rPr>
          <w:rFonts w:ascii="Century Schoolbook" w:hAnsi="Century Schoolbook"/>
        </w:rPr>
        <w:t>later</w:t>
      </w:r>
      <w:r w:rsidR="00E91A34">
        <w:rPr>
          <w:rFonts w:ascii="Century Schoolbook" w:hAnsi="Century Schoolbook"/>
        </w:rPr>
        <w:t xml:space="preserve"> lamented th</w:t>
      </w:r>
      <w:r w:rsidR="00525C2F">
        <w:rPr>
          <w:rFonts w:ascii="Century Schoolbook" w:hAnsi="Century Schoolbook"/>
        </w:rPr>
        <w:t>at “the justice of England has never been so degraded and injured as by the condemnation of Sir Walter Raleigh.”</w:t>
      </w:r>
      <w:r w:rsidR="00E91A34">
        <w:rPr>
          <w:rFonts w:ascii="Century Schoolbook" w:hAnsi="Century Schoolbook"/>
        </w:rPr>
        <w:t xml:space="preserve"> </w:t>
      </w:r>
    </w:p>
    <w:p w14:paraId="4AE11048" w14:textId="373A6682" w:rsidR="00525C2F" w:rsidRDefault="00525C2F" w:rsidP="00E3535E">
      <w:pPr>
        <w:spacing w:line="480" w:lineRule="auto"/>
        <w:jc w:val="both"/>
        <w:rPr>
          <w:rFonts w:ascii="Century Schoolbook" w:hAnsi="Century Schoolbook"/>
        </w:rPr>
      </w:pPr>
    </w:p>
    <w:p w14:paraId="567B6696" w14:textId="1E80D374" w:rsidR="00525C2F" w:rsidRDefault="00525C2F" w:rsidP="00E3535E">
      <w:pPr>
        <w:spacing w:line="480" w:lineRule="auto"/>
        <w:jc w:val="both"/>
        <w:rPr>
          <w:rFonts w:ascii="Century Schoolbook" w:hAnsi="Century Schoolbook"/>
        </w:rPr>
      </w:pPr>
      <w:r>
        <w:rPr>
          <w:rFonts w:ascii="Century Schoolbook" w:hAnsi="Century Schoolbook"/>
        </w:rPr>
        <w:t>The history lesson continues in C</w:t>
      </w:r>
      <w:r w:rsidR="00310EDA">
        <w:rPr>
          <w:rFonts w:ascii="Century Schoolbook" w:hAnsi="Century Schoolbook"/>
        </w:rPr>
        <w:t>ra</w:t>
      </w:r>
      <w:r>
        <w:rPr>
          <w:rFonts w:ascii="Century Schoolbook" w:hAnsi="Century Schoolbook"/>
        </w:rPr>
        <w:t>wford</w:t>
      </w:r>
      <w:r w:rsidR="00310EDA">
        <w:rPr>
          <w:rFonts w:ascii="Century Schoolbook" w:hAnsi="Century Schoolbook"/>
        </w:rPr>
        <w:t xml:space="preserve"> with references to other pre-Independence  English cases that raise the same issue of the criminal defendant’s </w:t>
      </w:r>
      <w:r w:rsidR="00027502">
        <w:rPr>
          <w:rFonts w:ascii="Century Schoolbook" w:hAnsi="Century Schoolbook"/>
        </w:rPr>
        <w:t xml:space="preserve">right to be confronted with and to cross-examine witnesses against him. The debate raged </w:t>
      </w:r>
      <w:r w:rsidR="008314E8">
        <w:rPr>
          <w:rFonts w:ascii="Century Schoolbook" w:hAnsi="Century Schoolbook"/>
        </w:rPr>
        <w:t>on this side of the Atlantic both before and after Independence as well - with the  argument in favor of the right overwhelmingly prevailing</w:t>
      </w:r>
      <w:r w:rsidR="001E140E">
        <w:rPr>
          <w:rFonts w:ascii="Century Schoolbook" w:hAnsi="Century Schoolbook"/>
        </w:rPr>
        <w:t xml:space="preserve">, and the right becoming a part of the ultimate law of the land with the ratification of the Bill of </w:t>
      </w:r>
      <w:r w:rsidR="00553740">
        <w:rPr>
          <w:rFonts w:ascii="Century Schoolbook" w:hAnsi="Century Schoolbook"/>
        </w:rPr>
        <w:t>Rights</w:t>
      </w:r>
      <w:r w:rsidR="001E140E">
        <w:rPr>
          <w:rFonts w:ascii="Century Schoolbook" w:hAnsi="Century Schoolbook"/>
        </w:rPr>
        <w:t xml:space="preserve">. </w:t>
      </w:r>
    </w:p>
    <w:p w14:paraId="3540B3A1" w14:textId="0E37EB4D" w:rsidR="00553740" w:rsidRDefault="00553740" w:rsidP="00E3535E">
      <w:pPr>
        <w:spacing w:line="480" w:lineRule="auto"/>
        <w:jc w:val="both"/>
        <w:rPr>
          <w:rFonts w:ascii="Century Schoolbook" w:hAnsi="Century Schoolbook"/>
        </w:rPr>
      </w:pPr>
    </w:p>
    <w:p w14:paraId="124AAB36" w14:textId="30A0A3B4" w:rsidR="00553740" w:rsidRDefault="00553740" w:rsidP="00E3535E">
      <w:pPr>
        <w:spacing w:line="480" w:lineRule="auto"/>
        <w:jc w:val="both"/>
        <w:rPr>
          <w:rFonts w:ascii="Century Schoolbook" w:hAnsi="Century Schoolbook"/>
        </w:rPr>
      </w:pPr>
      <w:r>
        <w:rPr>
          <w:rFonts w:ascii="Century Schoolbook" w:hAnsi="Century Schoolbook"/>
        </w:rPr>
        <w:lastRenderedPageBreak/>
        <w:t>Following the history lesson</w:t>
      </w:r>
      <w:r w:rsidR="00A67BFF">
        <w:rPr>
          <w:rFonts w:ascii="Century Schoolbook" w:hAnsi="Century Schoolbook"/>
        </w:rPr>
        <w:t xml:space="preserve">, Crawford delves into what is probably the most litigated issue within the Confrontation Clause debate – is the statement </w:t>
      </w:r>
      <w:r w:rsidR="00401BEA">
        <w:rPr>
          <w:rFonts w:ascii="Century Schoolbook" w:hAnsi="Century Schoolbook"/>
        </w:rPr>
        <w:t xml:space="preserve">testimonial?  If the statement is testimonial, then the Confrontation Clause comes into play; if the statement </w:t>
      </w:r>
      <w:r w:rsidR="00E60E69">
        <w:rPr>
          <w:rFonts w:ascii="Century Schoolbook" w:hAnsi="Century Schoolbook"/>
        </w:rPr>
        <w:t xml:space="preserve">is not testimonial, then the Confrontation Clause is not implicated, and if no other rule keeps it out, the statement comes in. </w:t>
      </w:r>
      <w:r w:rsidR="00576D68">
        <w:rPr>
          <w:rFonts w:ascii="Century Schoolbook" w:hAnsi="Century Schoolbook"/>
        </w:rPr>
        <w:t xml:space="preserve"> </w:t>
      </w:r>
      <w:r w:rsidR="00AB0F2A">
        <w:rPr>
          <w:rFonts w:ascii="Century Schoolbook" w:hAnsi="Century Schoolbook"/>
        </w:rPr>
        <w:t xml:space="preserve">Melendez-Diaz is the case to examine in the </w:t>
      </w:r>
      <w:r w:rsidR="006D11B7">
        <w:rPr>
          <w:rFonts w:ascii="Century Schoolbook" w:hAnsi="Century Schoolbook"/>
        </w:rPr>
        <w:t>“</w:t>
      </w:r>
      <w:r w:rsidR="00AB0F2A">
        <w:rPr>
          <w:rFonts w:ascii="Century Schoolbook" w:hAnsi="Century Schoolbook"/>
        </w:rPr>
        <w:t>is-it-testimonial</w:t>
      </w:r>
      <w:r w:rsidR="006D11B7">
        <w:rPr>
          <w:rFonts w:ascii="Century Schoolbook" w:hAnsi="Century Schoolbook"/>
        </w:rPr>
        <w:t>” debate.</w:t>
      </w:r>
      <w:r w:rsidR="00AB0F2A">
        <w:rPr>
          <w:rFonts w:ascii="Century Schoolbook" w:hAnsi="Century Schoolbook"/>
        </w:rPr>
        <w:t xml:space="preserve">  G</w:t>
      </w:r>
      <w:r w:rsidR="00576D68">
        <w:rPr>
          <w:rFonts w:ascii="Century Schoolbook" w:hAnsi="Century Schoolbook"/>
        </w:rPr>
        <w:t xml:space="preserve">enerally, a statement is considered testimonial </w:t>
      </w:r>
      <w:r w:rsidR="003F1945">
        <w:rPr>
          <w:rFonts w:ascii="Century Schoolbook" w:hAnsi="Century Schoolbook"/>
        </w:rPr>
        <w:t>if jt is a statement</w:t>
      </w:r>
      <w:r w:rsidR="00BC7386">
        <w:rPr>
          <w:rFonts w:ascii="Century Schoolbook" w:hAnsi="Century Schoolbook"/>
        </w:rPr>
        <w:t xml:space="preserve"> that was prepared for or exists for the purpose of being used in court. </w:t>
      </w:r>
      <w:r w:rsidR="00620C23">
        <w:rPr>
          <w:rFonts w:ascii="Century Schoolbook" w:hAnsi="Century Schoolbook"/>
        </w:rPr>
        <w:t xml:space="preserve">On the defense side, we obviously </w:t>
      </w:r>
      <w:r w:rsidR="00AC4B61">
        <w:rPr>
          <w:rFonts w:ascii="Century Schoolbook" w:hAnsi="Century Schoolbook"/>
        </w:rPr>
        <w:t>want to argue that the various records the prosecution wants to introduce into evidence</w:t>
      </w:r>
      <w:r w:rsidR="006E7894">
        <w:rPr>
          <w:rFonts w:ascii="Century Schoolbook" w:hAnsi="Century Schoolbook"/>
        </w:rPr>
        <w:t xml:space="preserve"> against our clients</w:t>
      </w:r>
      <w:r w:rsidR="00AC4B61">
        <w:rPr>
          <w:rFonts w:ascii="Century Schoolbook" w:hAnsi="Century Schoolbook"/>
        </w:rPr>
        <w:t xml:space="preserve"> </w:t>
      </w:r>
      <w:r w:rsidR="006C2637">
        <w:rPr>
          <w:rFonts w:ascii="Century Schoolbook" w:hAnsi="Century Schoolbook"/>
        </w:rPr>
        <w:t>are testimonial, and therefore, inadmissible</w:t>
      </w:r>
      <w:r w:rsidR="00035067">
        <w:rPr>
          <w:rFonts w:ascii="Century Schoolbook" w:hAnsi="Century Schoolbook"/>
        </w:rPr>
        <w:t>.</w:t>
      </w:r>
      <w:r w:rsidR="00AC4B61">
        <w:rPr>
          <w:rFonts w:ascii="Century Schoolbook" w:hAnsi="Century Schoolbook"/>
        </w:rPr>
        <w:t xml:space="preserve">  </w:t>
      </w:r>
      <w:r w:rsidR="00441057">
        <w:rPr>
          <w:rFonts w:ascii="Century Schoolbook" w:hAnsi="Century Schoolbook"/>
        </w:rPr>
        <w:t xml:space="preserve">Why </w:t>
      </w:r>
      <w:r w:rsidR="00994DC1">
        <w:rPr>
          <w:rFonts w:ascii="Century Schoolbook" w:hAnsi="Century Schoolbook"/>
        </w:rPr>
        <w:t xml:space="preserve">(where we practice) </w:t>
      </w:r>
      <w:r w:rsidR="00441057">
        <w:rPr>
          <w:rFonts w:ascii="Century Schoolbook" w:hAnsi="Century Schoolbook"/>
        </w:rPr>
        <w:t>is a certified copy of a car’s registration admissible</w:t>
      </w:r>
      <w:r w:rsidR="00994DC1">
        <w:rPr>
          <w:rFonts w:ascii="Century Schoolbook" w:hAnsi="Century Schoolbook"/>
        </w:rPr>
        <w:t xml:space="preserve"> in evidence</w:t>
      </w:r>
      <w:r w:rsidR="00441057">
        <w:rPr>
          <w:rFonts w:ascii="Century Schoolbook" w:hAnsi="Century Schoolbook"/>
        </w:rPr>
        <w:t xml:space="preserve"> </w:t>
      </w:r>
      <w:r w:rsidR="00994DC1">
        <w:rPr>
          <w:rFonts w:ascii="Century Schoolbook" w:hAnsi="Century Schoolbook"/>
        </w:rPr>
        <w:t xml:space="preserve">to prove ownership </w:t>
      </w:r>
      <w:r w:rsidR="00441057">
        <w:rPr>
          <w:rFonts w:ascii="Century Schoolbook" w:hAnsi="Century Schoolbook"/>
        </w:rPr>
        <w:t xml:space="preserve">but evidence that is not “certified” not allowed?  </w:t>
      </w:r>
      <w:r w:rsidR="005B7B36">
        <w:rPr>
          <w:rFonts w:ascii="Century Schoolbook" w:hAnsi="Century Schoolbook"/>
        </w:rPr>
        <w:t xml:space="preserve">Certified or not, the defense argument is that it’s testimonial and therefore subject to </w:t>
      </w:r>
      <w:r w:rsidR="00B31DFF">
        <w:rPr>
          <w:rFonts w:ascii="Century Schoolbook" w:hAnsi="Century Schoolbook"/>
        </w:rPr>
        <w:t xml:space="preserve">the </w:t>
      </w:r>
      <w:r w:rsidR="00A41A70">
        <w:rPr>
          <w:rFonts w:ascii="Century Schoolbook" w:hAnsi="Century Schoolbook"/>
        </w:rPr>
        <w:t>Cr</w:t>
      </w:r>
      <w:r w:rsidR="00B31DFF">
        <w:rPr>
          <w:rFonts w:ascii="Century Schoolbook" w:hAnsi="Century Schoolbook"/>
        </w:rPr>
        <w:t>awford exclusionar</w:t>
      </w:r>
      <w:r w:rsidR="00A41A70">
        <w:rPr>
          <w:rFonts w:ascii="Century Schoolbook" w:hAnsi="Century Schoolbook"/>
        </w:rPr>
        <w:t xml:space="preserve">y rule. </w:t>
      </w:r>
    </w:p>
    <w:p w14:paraId="1DB505BD" w14:textId="44A9D2DD" w:rsidR="000460CB" w:rsidRDefault="000460CB" w:rsidP="00E3535E">
      <w:pPr>
        <w:spacing w:line="480" w:lineRule="auto"/>
        <w:jc w:val="both"/>
        <w:rPr>
          <w:rFonts w:ascii="Century Schoolbook" w:hAnsi="Century Schoolbook"/>
        </w:rPr>
      </w:pPr>
    </w:p>
    <w:p w14:paraId="183A8EFD" w14:textId="77777777" w:rsidR="00C57437" w:rsidRDefault="000460CB" w:rsidP="00E3535E">
      <w:pPr>
        <w:spacing w:line="480" w:lineRule="auto"/>
        <w:jc w:val="both"/>
        <w:rPr>
          <w:rFonts w:ascii="Century Schoolbook" w:hAnsi="Century Schoolbook"/>
        </w:rPr>
      </w:pPr>
      <w:r>
        <w:rPr>
          <w:rFonts w:ascii="Century Schoolbook" w:hAnsi="Century Schoolbook"/>
        </w:rPr>
        <w:t xml:space="preserve">With respect to testimonial statements made by a witness who is </w:t>
      </w:r>
      <w:r w:rsidR="00C57437">
        <w:rPr>
          <w:rFonts w:ascii="Century Schoolbook" w:hAnsi="Century Schoolbook"/>
        </w:rPr>
        <w:t>unavailable, that statement is inadmissible unless the defendant had an opportunity to cross-examine the witness at a prior hearing:</w:t>
      </w:r>
    </w:p>
    <w:p w14:paraId="318DFACB" w14:textId="77777777" w:rsidR="00C57437" w:rsidRDefault="00C57437" w:rsidP="00E3535E">
      <w:pPr>
        <w:spacing w:line="480" w:lineRule="auto"/>
        <w:jc w:val="both"/>
        <w:rPr>
          <w:rFonts w:ascii="Century Schoolbook" w:hAnsi="Century Schoolbook"/>
        </w:rPr>
      </w:pPr>
    </w:p>
    <w:p w14:paraId="40177100" w14:textId="4AB7CA12" w:rsidR="00392D8D" w:rsidRDefault="00C57437" w:rsidP="00E3535E">
      <w:pPr>
        <w:ind w:left="720"/>
        <w:jc w:val="both"/>
        <w:rPr>
          <w:rFonts w:ascii="Century Schoolbook" w:hAnsi="Century Schoolbook"/>
        </w:rPr>
      </w:pPr>
      <w:r>
        <w:rPr>
          <w:rFonts w:ascii="Century Schoolbook" w:hAnsi="Century Schoolbook"/>
        </w:rPr>
        <w:t xml:space="preserve">Various formulations of this core class of “testimonial” statements exist: ‘ex parte in-court testimony </w:t>
      </w:r>
      <w:r w:rsidR="00C6685C">
        <w:rPr>
          <w:rFonts w:ascii="Century Schoolbook" w:hAnsi="Century Schoolbook"/>
        </w:rPr>
        <w:t>or its functional equivalent – that is, material such</w:t>
      </w:r>
      <w:r w:rsidR="00C801C6">
        <w:rPr>
          <w:rFonts w:ascii="Century Schoolbook" w:hAnsi="Century Schoolbook"/>
        </w:rPr>
        <w:t xml:space="preserve"> </w:t>
      </w:r>
      <w:r w:rsidR="00C6685C">
        <w:rPr>
          <w:rFonts w:ascii="Century Schoolbook" w:hAnsi="Century Schoolbook"/>
        </w:rPr>
        <w:t>as affidavits, custodial examinations, prior testimony that the defendant was unable to cross-examine, or similar pretrial statements that declarants would reasonably expect to be used prosecutorially,</w:t>
      </w:r>
      <w:r w:rsidR="00FC6C8D">
        <w:rPr>
          <w:rFonts w:ascii="Century Schoolbook" w:hAnsi="Century Schoolbook"/>
        </w:rPr>
        <w:t xml:space="preserve">’ Brief for Petitioner 23; ‘extrajudicial statements … contained in formalized testimonial materials, such as affidavits, depositions, prior testimony or confessions,’ White v. Illinois, 502 U.S. 346,365 (1992) (Thomas, J., joined by Scalia, J., concurring in part </w:t>
      </w:r>
      <w:r w:rsidR="00FC6C8D">
        <w:rPr>
          <w:rFonts w:ascii="Century Schoolbook" w:hAnsi="Century Schoolbook"/>
        </w:rPr>
        <w:lastRenderedPageBreak/>
        <w:t xml:space="preserve">and concurring in judgment); ‘statements that were made under circumstances </w:t>
      </w:r>
      <w:r w:rsidR="00091CFD">
        <w:rPr>
          <w:rFonts w:ascii="Century Schoolbook" w:hAnsi="Century Schoolbook"/>
        </w:rPr>
        <w:t xml:space="preserve">which would lead an objective witness reasonably to believe that the statement would be available for use at a later trial,’ Brief for National Association of Criminal Defense lawyers et al. as </w:t>
      </w:r>
      <w:r w:rsidR="00091CFD" w:rsidRPr="00091CFD">
        <w:rPr>
          <w:rFonts w:ascii="Century Schoolbook" w:hAnsi="Century Schoolbook"/>
          <w:i/>
          <w:iCs/>
        </w:rPr>
        <w:t>Amici Curiae</w:t>
      </w:r>
      <w:r w:rsidR="00091CFD">
        <w:rPr>
          <w:rFonts w:ascii="Century Schoolbook" w:hAnsi="Century Schoolbook"/>
          <w:i/>
          <w:iCs/>
        </w:rPr>
        <w:t xml:space="preserve"> </w:t>
      </w:r>
      <w:r w:rsidR="00091CFD">
        <w:rPr>
          <w:rFonts w:ascii="Century Schoolbook" w:hAnsi="Century Schoolbook"/>
        </w:rPr>
        <w:t>3.  These formulations all share a common nucleus and then define the Clause’s coverage at various levels of abstraction around it.  Regardless of the precise articulation, some statements qualify under any definition – for example, ex parte testimony at a preliminary hearing.  Crawford at ___.</w:t>
      </w:r>
    </w:p>
    <w:p w14:paraId="472D546A" w14:textId="77777777" w:rsidR="00392D8D" w:rsidRDefault="00392D8D" w:rsidP="00E3535E">
      <w:pPr>
        <w:spacing w:line="480" w:lineRule="auto"/>
        <w:ind w:left="720"/>
        <w:jc w:val="both"/>
        <w:rPr>
          <w:rFonts w:ascii="Century Schoolbook" w:hAnsi="Century Schoolbook"/>
        </w:rPr>
      </w:pPr>
    </w:p>
    <w:p w14:paraId="3A195FFC" w14:textId="53F5A134" w:rsidR="00392D8D" w:rsidRDefault="00392D8D" w:rsidP="00E3535E">
      <w:pPr>
        <w:spacing w:line="480" w:lineRule="auto"/>
        <w:jc w:val="both"/>
        <w:rPr>
          <w:rFonts w:ascii="Century Schoolbook" w:hAnsi="Century Schoolbook"/>
        </w:rPr>
      </w:pPr>
      <w:r>
        <w:rPr>
          <w:rFonts w:ascii="Century Schoolbook" w:hAnsi="Century Schoolbook"/>
        </w:rPr>
        <w:t>Crawford explicitly overrules Roberts v. Ohio:</w:t>
      </w:r>
    </w:p>
    <w:p w14:paraId="6CEE0CD9" w14:textId="0A77748D" w:rsidR="00A42DB9" w:rsidRDefault="00392D8D" w:rsidP="00E3535E">
      <w:pPr>
        <w:ind w:left="720"/>
        <w:jc w:val="both"/>
        <w:rPr>
          <w:rFonts w:ascii="Century Schoolbook" w:hAnsi="Century Schoolbook"/>
        </w:rPr>
      </w:pPr>
      <w:r>
        <w:rPr>
          <w:rFonts w:ascii="Century Schoolbook" w:hAnsi="Century Schoolbook"/>
        </w:rPr>
        <w:t>To be sure, the Clause’s ultimate goal is to ensure reliability of evidence, but it is a procedural rather than substantive guarantee.  It commands not that the evidence be reliable, but that reliability be assessed in a particular manner: by testing in the crucible</w:t>
      </w:r>
      <w:r w:rsidR="008D6122">
        <w:rPr>
          <w:rFonts w:ascii="Century Schoolbook" w:hAnsi="Century Schoolbook"/>
        </w:rPr>
        <w:t xml:space="preserve"> of cross-examination.  The Clause thus reflects a judgment, not only about the desirability of reliable evidence (a point on which there could be little dissent), but about how reliability can best be determined. Cf. 3 Blackstone, Commentaries</w:t>
      </w:r>
      <w:r w:rsidR="006374BD">
        <w:rPr>
          <w:rFonts w:ascii="Century Schoolbook" w:hAnsi="Century Schoolbook"/>
        </w:rPr>
        <w:t>, at 373 (‘This open examination of witnesses … is much more conducive to the clearing up of truth’)</w:t>
      </w:r>
      <w:r w:rsidR="003B41CD">
        <w:rPr>
          <w:rFonts w:ascii="Century Schoolbook" w:hAnsi="Century Schoolbook"/>
        </w:rPr>
        <w:t xml:space="preserve">; M. Hale, History and </w:t>
      </w:r>
      <w:r w:rsidR="00CF099A">
        <w:rPr>
          <w:rFonts w:ascii="Century Schoolbook" w:hAnsi="Century Schoolbook"/>
        </w:rPr>
        <w:t>Analysis of the Common law of England 258 (1713) (adversarial testing ‘beats and bolts out truth much better’).</w:t>
      </w:r>
      <w:r w:rsidR="003B41CD">
        <w:rPr>
          <w:rFonts w:ascii="Century Schoolbook" w:hAnsi="Century Schoolbook"/>
        </w:rPr>
        <w:t xml:space="preserve"> </w:t>
      </w:r>
      <w:r w:rsidR="006374BD">
        <w:rPr>
          <w:rFonts w:ascii="Century Schoolbook" w:hAnsi="Century Schoolbook"/>
        </w:rPr>
        <w:t xml:space="preserve"> </w:t>
      </w:r>
    </w:p>
    <w:p w14:paraId="23BEEAC4" w14:textId="6E4114C0" w:rsidR="00FB3D0B" w:rsidRDefault="00FB3D0B" w:rsidP="00E3535E">
      <w:pPr>
        <w:spacing w:line="480" w:lineRule="auto"/>
        <w:ind w:left="720"/>
        <w:jc w:val="both"/>
        <w:rPr>
          <w:rFonts w:ascii="Century Schoolbook" w:hAnsi="Century Schoolbook"/>
        </w:rPr>
      </w:pPr>
    </w:p>
    <w:p w14:paraId="67828663" w14:textId="6A3E974D" w:rsidR="005373BB" w:rsidRDefault="005373BB" w:rsidP="00E3535E">
      <w:pPr>
        <w:spacing w:line="480" w:lineRule="auto"/>
        <w:jc w:val="both"/>
        <w:rPr>
          <w:rFonts w:ascii="Century Schoolbook" w:hAnsi="Century Schoolbook"/>
        </w:rPr>
      </w:pPr>
      <w:r>
        <w:rPr>
          <w:rFonts w:ascii="Century Schoolbook" w:hAnsi="Century Schoolbook"/>
        </w:rPr>
        <w:t>And</w:t>
      </w:r>
      <w:r w:rsidR="005F4346">
        <w:rPr>
          <w:rFonts w:ascii="Century Schoolbook" w:hAnsi="Century Schoolbook"/>
        </w:rPr>
        <w:t xml:space="preserve"> finally</w:t>
      </w:r>
      <w:r>
        <w:rPr>
          <w:rFonts w:ascii="Century Schoolbook" w:hAnsi="Century Schoolbook"/>
        </w:rPr>
        <w:t>, in the spirit of no one says it better than Scalia:</w:t>
      </w:r>
    </w:p>
    <w:p w14:paraId="2E0A8916" w14:textId="551A12F8" w:rsidR="005373BB" w:rsidRPr="005373BB" w:rsidRDefault="005373BB" w:rsidP="00E3535E">
      <w:pPr>
        <w:ind w:left="720"/>
        <w:jc w:val="both"/>
        <w:rPr>
          <w:rFonts w:ascii="Century Schoolbook" w:hAnsi="Century Schoolbook"/>
        </w:rPr>
      </w:pPr>
      <w:r>
        <w:rPr>
          <w:rFonts w:ascii="Century Schoolbook" w:hAnsi="Century Schoolbook"/>
        </w:rPr>
        <w:t>The Raleigh trial itself involved the very sorts of reliability determinations that Roberts authorizes.  In the face of Raleigh’s repeated demands for confrontation, the prosecution responded with many of the arguments a court applying Roberts might invoke today: that Cobham’s statements were self-inculpatory … that they were not made in the heat of passion, and they were not ‘extracted from him upon any hopes or promises of pardon.’  It is not plausible that the Framers’ only objection to the trial was that Raleigh’s judge</w:t>
      </w:r>
      <w:r w:rsidR="0051700E">
        <w:rPr>
          <w:rFonts w:ascii="Century Schoolbook" w:hAnsi="Century Schoolbook"/>
        </w:rPr>
        <w:t>s</w:t>
      </w:r>
      <w:r>
        <w:rPr>
          <w:rFonts w:ascii="Century Schoolbook" w:hAnsi="Century Schoolbook"/>
        </w:rPr>
        <w:t xml:space="preserve"> did not properly weigh these factors before sentencing him to death. </w:t>
      </w:r>
      <w:r w:rsidR="00A6760A">
        <w:rPr>
          <w:rFonts w:ascii="Century Schoolbook" w:hAnsi="Century Schoolbook"/>
        </w:rPr>
        <w:t xml:space="preserve"> Rather, the problem was that the judges refused to allow Raleigh to confront Cobham in court, where he could cross-examine him and try to expose his accusations as a lie. Dispensing with confrontation because testimony is obviously reliable is akin to dispensing with jury </w:t>
      </w:r>
      <w:r w:rsidR="0051700E">
        <w:rPr>
          <w:rFonts w:ascii="Century Schoolbook" w:hAnsi="Century Schoolbook"/>
        </w:rPr>
        <w:t>t</w:t>
      </w:r>
      <w:r w:rsidR="00A6760A">
        <w:rPr>
          <w:rFonts w:ascii="Century Schoolbook" w:hAnsi="Century Schoolbook"/>
        </w:rPr>
        <w:t>rial because a defendant is obviously guilty.  This is not what the Sixth Amendment prescribes.  Crawford at ___.</w:t>
      </w:r>
      <w:r>
        <w:rPr>
          <w:rFonts w:ascii="Century Schoolbook" w:hAnsi="Century Schoolbook"/>
        </w:rPr>
        <w:t xml:space="preserve"> </w:t>
      </w:r>
    </w:p>
    <w:p w14:paraId="76E5E791" w14:textId="77777777" w:rsidR="009A27AF" w:rsidRDefault="009A27AF" w:rsidP="00E3535E">
      <w:pPr>
        <w:spacing w:line="480" w:lineRule="auto"/>
        <w:ind w:left="1440"/>
        <w:jc w:val="both"/>
        <w:rPr>
          <w:rFonts w:ascii="Century Schoolbook" w:hAnsi="Century Schoolbook"/>
        </w:rPr>
      </w:pPr>
    </w:p>
    <w:p w14:paraId="1DB12283" w14:textId="77777777" w:rsidR="006D49B1" w:rsidRDefault="006D49B1" w:rsidP="00E3535E">
      <w:pPr>
        <w:spacing w:line="480" w:lineRule="auto"/>
        <w:ind w:left="720"/>
        <w:jc w:val="both"/>
        <w:rPr>
          <w:rFonts w:ascii="Century Schoolbook" w:hAnsi="Century Schoolbook"/>
        </w:rPr>
      </w:pPr>
    </w:p>
    <w:p w14:paraId="0B958717" w14:textId="1C3F9927" w:rsidR="009A27AF" w:rsidRDefault="006D49B1" w:rsidP="006D49B1">
      <w:pPr>
        <w:spacing w:line="480" w:lineRule="auto"/>
        <w:ind w:left="720"/>
        <w:jc w:val="center"/>
        <w:rPr>
          <w:rFonts w:ascii="Century Schoolbook" w:hAnsi="Century Schoolbook"/>
        </w:rPr>
      </w:pPr>
      <w:r>
        <w:rPr>
          <w:rFonts w:ascii="Century Schoolbook" w:hAnsi="Century Schoolbook"/>
        </w:rPr>
        <w:t>REVISITING AGGRAVATING FACTORS</w:t>
      </w:r>
    </w:p>
    <w:p w14:paraId="6E1C38AB" w14:textId="4BB6E764" w:rsidR="006D49B1" w:rsidRDefault="006D49B1" w:rsidP="006D49B1">
      <w:pPr>
        <w:spacing w:line="480" w:lineRule="auto"/>
        <w:ind w:left="720"/>
        <w:jc w:val="center"/>
        <w:rPr>
          <w:rFonts w:ascii="Century Schoolbook" w:hAnsi="Century Schoolbook"/>
        </w:rPr>
      </w:pPr>
    </w:p>
    <w:p w14:paraId="42D7B720" w14:textId="02C530E4" w:rsidR="006D49B1" w:rsidRDefault="006D49B1" w:rsidP="006D49B1">
      <w:pPr>
        <w:spacing w:line="480" w:lineRule="auto"/>
        <w:ind w:left="720"/>
        <w:jc w:val="center"/>
        <w:rPr>
          <w:rFonts w:ascii="Century Schoolbook" w:hAnsi="Century Schoolbook"/>
        </w:rPr>
      </w:pPr>
      <w:r>
        <w:rPr>
          <w:rFonts w:ascii="Century Schoolbook" w:hAnsi="Century Schoolbook"/>
        </w:rPr>
        <w:t>THE RULE:</w:t>
      </w:r>
    </w:p>
    <w:p w14:paraId="710533F9" w14:textId="4EE334F3" w:rsidR="006D49B1" w:rsidRDefault="006D49B1" w:rsidP="006D49B1">
      <w:pPr>
        <w:spacing w:line="480" w:lineRule="auto"/>
        <w:ind w:left="720"/>
        <w:jc w:val="center"/>
        <w:rPr>
          <w:rFonts w:ascii="Century Schoolbook" w:hAnsi="Century Schoolbook"/>
        </w:rPr>
      </w:pPr>
      <w:r>
        <w:rPr>
          <w:rFonts w:ascii="Century Schoolbook" w:hAnsi="Century Schoolbook"/>
        </w:rPr>
        <w:t>OTHER THAN THE FACT OF A PRIOR CONVICTION, ANY FACT THAT INCREASES THE PENALTY FOR A CRIME BEYOND THE PRESCRIBED STATUTORY MAXIMUM MUST BE SUBMITTED TO THE JURY, AND PROVED BEYOND A RESONABLE DOUBT.</w:t>
      </w:r>
    </w:p>
    <w:p w14:paraId="7D732890" w14:textId="45E817CB" w:rsidR="006D49B1" w:rsidRDefault="006D49B1" w:rsidP="006D49B1">
      <w:pPr>
        <w:spacing w:line="480" w:lineRule="auto"/>
        <w:ind w:left="720"/>
        <w:jc w:val="center"/>
        <w:rPr>
          <w:rFonts w:ascii="Century Schoolbook" w:hAnsi="Century Schoolbook"/>
        </w:rPr>
      </w:pPr>
    </w:p>
    <w:p w14:paraId="73E5ADC5" w14:textId="4D485567" w:rsidR="006D49B1" w:rsidRDefault="006D49B1" w:rsidP="006D49B1">
      <w:pPr>
        <w:spacing w:line="480" w:lineRule="auto"/>
        <w:ind w:left="720"/>
        <w:jc w:val="center"/>
        <w:rPr>
          <w:rFonts w:ascii="Century Schoolbook" w:hAnsi="Century Schoolbook"/>
        </w:rPr>
      </w:pPr>
    </w:p>
    <w:p w14:paraId="6B012D8D" w14:textId="75151CD4" w:rsidR="006D49B1" w:rsidRDefault="003034DB" w:rsidP="006D49B1">
      <w:pPr>
        <w:spacing w:line="480" w:lineRule="auto"/>
        <w:ind w:left="720"/>
        <w:jc w:val="center"/>
        <w:rPr>
          <w:rFonts w:ascii="Century Schoolbook" w:hAnsi="Century Schoolbook"/>
        </w:rPr>
      </w:pPr>
      <w:r>
        <w:rPr>
          <w:rFonts w:ascii="Century Schoolbook" w:hAnsi="Century Schoolbook"/>
        </w:rPr>
        <w:t>The following is a memorandum of Law I wrote in 2006.</w:t>
      </w:r>
    </w:p>
    <w:p w14:paraId="3AEDED55" w14:textId="77777777" w:rsidR="003C27DB" w:rsidRDefault="003C27DB" w:rsidP="006D49B1">
      <w:pPr>
        <w:spacing w:line="480" w:lineRule="auto"/>
        <w:jc w:val="center"/>
        <w:rPr>
          <w:rFonts w:ascii="Century Schoolbook" w:hAnsi="Century Schoolbook"/>
        </w:rPr>
      </w:pPr>
    </w:p>
    <w:p w14:paraId="08E7BEDB" w14:textId="1BC7ED03" w:rsidR="00EF3101" w:rsidRDefault="00B60DAB" w:rsidP="00E3535E">
      <w:pPr>
        <w:spacing w:line="480" w:lineRule="auto"/>
        <w:jc w:val="both"/>
        <w:rPr>
          <w:rFonts w:ascii="Century Schoolbook" w:hAnsi="Century Schoolbook"/>
        </w:rPr>
      </w:pPr>
      <w:r>
        <w:rPr>
          <w:rFonts w:ascii="Century Schoolbook" w:hAnsi="Century Schoolbook"/>
        </w:rPr>
        <w:t xml:space="preserve"> </w:t>
      </w:r>
      <w:r w:rsidR="00515331">
        <w:rPr>
          <w:rFonts w:ascii="Century Schoolbook" w:hAnsi="Century Schoolbook"/>
        </w:rPr>
        <w:t xml:space="preserve"> </w:t>
      </w:r>
      <w:r w:rsidR="00EF3101">
        <w:rPr>
          <w:rFonts w:ascii="Century Schoolbook" w:hAnsi="Century Schoolbook"/>
        </w:rPr>
        <w:t xml:space="preserve">                                </w:t>
      </w:r>
    </w:p>
    <w:p w14:paraId="144115FD" w14:textId="77777777" w:rsidR="003674A4" w:rsidRDefault="003674A4" w:rsidP="00E3535E">
      <w:pPr>
        <w:spacing w:line="480" w:lineRule="auto"/>
        <w:jc w:val="both"/>
        <w:rPr>
          <w:rFonts w:ascii="Century Schoolbook" w:hAnsi="Century Schoolbook"/>
        </w:rPr>
      </w:pPr>
    </w:p>
    <w:p w14:paraId="76BDC910" w14:textId="77777777" w:rsidR="00D84925" w:rsidRDefault="00D84925" w:rsidP="00E3535E">
      <w:pPr>
        <w:spacing w:line="480" w:lineRule="auto"/>
        <w:jc w:val="both"/>
        <w:rPr>
          <w:rFonts w:ascii="Century Schoolbook" w:hAnsi="Century Schoolbook"/>
        </w:rPr>
      </w:pPr>
    </w:p>
    <w:p w14:paraId="05264D2D" w14:textId="77777777" w:rsidR="00D84925" w:rsidRDefault="00D84925" w:rsidP="00E3535E">
      <w:pPr>
        <w:spacing w:line="480" w:lineRule="auto"/>
        <w:jc w:val="both"/>
        <w:rPr>
          <w:rFonts w:ascii="Century Schoolbook" w:hAnsi="Century Schoolbook"/>
        </w:rPr>
      </w:pPr>
    </w:p>
    <w:p w14:paraId="19808BBB" w14:textId="77777777" w:rsidR="00D84925" w:rsidRDefault="00D84925" w:rsidP="00E3535E">
      <w:pPr>
        <w:spacing w:line="480" w:lineRule="auto"/>
        <w:jc w:val="both"/>
        <w:rPr>
          <w:rFonts w:ascii="Century Schoolbook" w:hAnsi="Century Schoolbook"/>
        </w:rPr>
      </w:pPr>
    </w:p>
    <w:p w14:paraId="28D82410" w14:textId="77777777" w:rsidR="00D84925" w:rsidRDefault="00D84925" w:rsidP="00E3535E">
      <w:pPr>
        <w:spacing w:line="480" w:lineRule="auto"/>
        <w:jc w:val="both"/>
        <w:rPr>
          <w:rFonts w:ascii="Century Schoolbook" w:hAnsi="Century Schoolbook"/>
        </w:rPr>
      </w:pPr>
    </w:p>
    <w:p w14:paraId="330D0272" w14:textId="77777777" w:rsidR="00D84925" w:rsidRDefault="00D84925" w:rsidP="00E3535E">
      <w:pPr>
        <w:spacing w:line="480" w:lineRule="auto"/>
        <w:jc w:val="both"/>
        <w:rPr>
          <w:rFonts w:ascii="Century Schoolbook" w:hAnsi="Century Schoolbook"/>
        </w:rPr>
      </w:pPr>
    </w:p>
    <w:p w14:paraId="11A2D100" w14:textId="77777777" w:rsidR="00D84925" w:rsidRDefault="00D84925" w:rsidP="00E3535E">
      <w:pPr>
        <w:spacing w:line="480" w:lineRule="auto"/>
        <w:jc w:val="both"/>
        <w:rPr>
          <w:rFonts w:ascii="Century Schoolbook" w:hAnsi="Century Schoolbook"/>
        </w:rPr>
      </w:pPr>
    </w:p>
    <w:p w14:paraId="60F95A91" w14:textId="35BA2BC7" w:rsidR="00340D5F" w:rsidRPr="00265C2B" w:rsidRDefault="00340D5F" w:rsidP="00E3535E">
      <w:pPr>
        <w:spacing w:line="480" w:lineRule="auto"/>
        <w:jc w:val="both"/>
        <w:rPr>
          <w:rFonts w:ascii="Century Schoolbook" w:hAnsi="Century Schoolbook"/>
        </w:rPr>
      </w:pPr>
    </w:p>
    <w:sectPr w:rsidR="00340D5F" w:rsidRPr="00265C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AA1BE" w14:textId="77777777" w:rsidR="00E12257" w:rsidRDefault="00E12257" w:rsidP="00EE7B1F">
      <w:r>
        <w:separator/>
      </w:r>
    </w:p>
  </w:endnote>
  <w:endnote w:type="continuationSeparator" w:id="0">
    <w:p w14:paraId="7E595394" w14:textId="77777777" w:rsidR="00E12257" w:rsidRDefault="00E12257" w:rsidP="00EE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A352" w14:textId="77777777" w:rsidR="00E12257" w:rsidRDefault="00E12257" w:rsidP="00EE7B1F">
      <w:r>
        <w:separator/>
      </w:r>
    </w:p>
  </w:footnote>
  <w:footnote w:type="continuationSeparator" w:id="0">
    <w:p w14:paraId="286765DC" w14:textId="77777777" w:rsidR="00E12257" w:rsidRDefault="00E12257" w:rsidP="00EE7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C2B"/>
    <w:rsid w:val="00024F92"/>
    <w:rsid w:val="00027502"/>
    <w:rsid w:val="00035067"/>
    <w:rsid w:val="000376E0"/>
    <w:rsid w:val="000460CB"/>
    <w:rsid w:val="00050EA3"/>
    <w:rsid w:val="00056243"/>
    <w:rsid w:val="0007048D"/>
    <w:rsid w:val="00091CFD"/>
    <w:rsid w:val="000A444D"/>
    <w:rsid w:val="000C58A1"/>
    <w:rsid w:val="000D2910"/>
    <w:rsid w:val="000E557D"/>
    <w:rsid w:val="000E5BEA"/>
    <w:rsid w:val="00106C6E"/>
    <w:rsid w:val="00110A0C"/>
    <w:rsid w:val="001142BA"/>
    <w:rsid w:val="001306CD"/>
    <w:rsid w:val="00141868"/>
    <w:rsid w:val="0015627D"/>
    <w:rsid w:val="00156C01"/>
    <w:rsid w:val="00174222"/>
    <w:rsid w:val="001751AB"/>
    <w:rsid w:val="00191DD5"/>
    <w:rsid w:val="001B6DB0"/>
    <w:rsid w:val="001E140E"/>
    <w:rsid w:val="001F5D61"/>
    <w:rsid w:val="002137E2"/>
    <w:rsid w:val="00225C18"/>
    <w:rsid w:val="00246BB6"/>
    <w:rsid w:val="00265C2B"/>
    <w:rsid w:val="002703AA"/>
    <w:rsid w:val="00273634"/>
    <w:rsid w:val="002858E9"/>
    <w:rsid w:val="00291098"/>
    <w:rsid w:val="00292803"/>
    <w:rsid w:val="0029473C"/>
    <w:rsid w:val="002A0C87"/>
    <w:rsid w:val="002B32A6"/>
    <w:rsid w:val="002B3FFA"/>
    <w:rsid w:val="002B6FA2"/>
    <w:rsid w:val="002C36CE"/>
    <w:rsid w:val="002D719D"/>
    <w:rsid w:val="002E183A"/>
    <w:rsid w:val="00303307"/>
    <w:rsid w:val="003034DB"/>
    <w:rsid w:val="00310173"/>
    <w:rsid w:val="00310EDA"/>
    <w:rsid w:val="00340D5F"/>
    <w:rsid w:val="003461A4"/>
    <w:rsid w:val="00350E2F"/>
    <w:rsid w:val="00353453"/>
    <w:rsid w:val="00354EB1"/>
    <w:rsid w:val="003674A4"/>
    <w:rsid w:val="00371A42"/>
    <w:rsid w:val="00392D8D"/>
    <w:rsid w:val="00395F7F"/>
    <w:rsid w:val="003B41CD"/>
    <w:rsid w:val="003C27DB"/>
    <w:rsid w:val="003E009A"/>
    <w:rsid w:val="003E7B51"/>
    <w:rsid w:val="003F0721"/>
    <w:rsid w:val="003F1945"/>
    <w:rsid w:val="00401BEA"/>
    <w:rsid w:val="0040257D"/>
    <w:rsid w:val="004135EC"/>
    <w:rsid w:val="004258D0"/>
    <w:rsid w:val="00434E67"/>
    <w:rsid w:val="00435A43"/>
    <w:rsid w:val="00436E20"/>
    <w:rsid w:val="00441057"/>
    <w:rsid w:val="004419D6"/>
    <w:rsid w:val="00447E01"/>
    <w:rsid w:val="00463E08"/>
    <w:rsid w:val="00472178"/>
    <w:rsid w:val="004772E7"/>
    <w:rsid w:val="004C4C6B"/>
    <w:rsid w:val="004F1891"/>
    <w:rsid w:val="004F7103"/>
    <w:rsid w:val="005024C9"/>
    <w:rsid w:val="00502FFD"/>
    <w:rsid w:val="00503B1B"/>
    <w:rsid w:val="00515331"/>
    <w:rsid w:val="0051700E"/>
    <w:rsid w:val="00525C2F"/>
    <w:rsid w:val="005373BB"/>
    <w:rsid w:val="00544ABA"/>
    <w:rsid w:val="00551B2F"/>
    <w:rsid w:val="00553740"/>
    <w:rsid w:val="0056341F"/>
    <w:rsid w:val="005763BA"/>
    <w:rsid w:val="00576D68"/>
    <w:rsid w:val="00592E83"/>
    <w:rsid w:val="00593E1C"/>
    <w:rsid w:val="00594DCE"/>
    <w:rsid w:val="005A124B"/>
    <w:rsid w:val="005A37DA"/>
    <w:rsid w:val="005B7B36"/>
    <w:rsid w:val="005D7809"/>
    <w:rsid w:val="005E4218"/>
    <w:rsid w:val="005F4346"/>
    <w:rsid w:val="005F69FB"/>
    <w:rsid w:val="00620C23"/>
    <w:rsid w:val="006262AC"/>
    <w:rsid w:val="006347C6"/>
    <w:rsid w:val="006374BD"/>
    <w:rsid w:val="0064787D"/>
    <w:rsid w:val="00686C34"/>
    <w:rsid w:val="00695C76"/>
    <w:rsid w:val="00696C99"/>
    <w:rsid w:val="006B50D3"/>
    <w:rsid w:val="006C2637"/>
    <w:rsid w:val="006D11B7"/>
    <w:rsid w:val="006D49B1"/>
    <w:rsid w:val="006E1FB3"/>
    <w:rsid w:val="006E4CEB"/>
    <w:rsid w:val="006E7250"/>
    <w:rsid w:val="006E7894"/>
    <w:rsid w:val="007073B4"/>
    <w:rsid w:val="00722542"/>
    <w:rsid w:val="00737B16"/>
    <w:rsid w:val="00753019"/>
    <w:rsid w:val="00756274"/>
    <w:rsid w:val="00757C03"/>
    <w:rsid w:val="00764268"/>
    <w:rsid w:val="007672F0"/>
    <w:rsid w:val="00775A1E"/>
    <w:rsid w:val="0078402C"/>
    <w:rsid w:val="007940A5"/>
    <w:rsid w:val="00796DBD"/>
    <w:rsid w:val="007A253C"/>
    <w:rsid w:val="007A4E95"/>
    <w:rsid w:val="007B4763"/>
    <w:rsid w:val="007C4BDF"/>
    <w:rsid w:val="007C63C5"/>
    <w:rsid w:val="007F4CD9"/>
    <w:rsid w:val="007F4DA7"/>
    <w:rsid w:val="00806CEC"/>
    <w:rsid w:val="00821B9F"/>
    <w:rsid w:val="00822E2A"/>
    <w:rsid w:val="00824FAA"/>
    <w:rsid w:val="008314E8"/>
    <w:rsid w:val="00851729"/>
    <w:rsid w:val="008531E5"/>
    <w:rsid w:val="00854B8B"/>
    <w:rsid w:val="00860E63"/>
    <w:rsid w:val="008638BD"/>
    <w:rsid w:val="00884179"/>
    <w:rsid w:val="00893168"/>
    <w:rsid w:val="008A4ADB"/>
    <w:rsid w:val="008A6A9C"/>
    <w:rsid w:val="008B654D"/>
    <w:rsid w:val="008D0757"/>
    <w:rsid w:val="008D5EDD"/>
    <w:rsid w:val="008D6122"/>
    <w:rsid w:val="008D7D3C"/>
    <w:rsid w:val="008F0E10"/>
    <w:rsid w:val="00907860"/>
    <w:rsid w:val="00915B29"/>
    <w:rsid w:val="00933245"/>
    <w:rsid w:val="00933863"/>
    <w:rsid w:val="00965F6E"/>
    <w:rsid w:val="00987EA5"/>
    <w:rsid w:val="009908F9"/>
    <w:rsid w:val="00994DC1"/>
    <w:rsid w:val="009A27AF"/>
    <w:rsid w:val="009A2BF6"/>
    <w:rsid w:val="009B3088"/>
    <w:rsid w:val="009B4C28"/>
    <w:rsid w:val="009B7260"/>
    <w:rsid w:val="009D050E"/>
    <w:rsid w:val="009E3A7F"/>
    <w:rsid w:val="009F29AA"/>
    <w:rsid w:val="009F5F30"/>
    <w:rsid w:val="00A03F3D"/>
    <w:rsid w:val="00A12ED7"/>
    <w:rsid w:val="00A159CF"/>
    <w:rsid w:val="00A41A70"/>
    <w:rsid w:val="00A42DB9"/>
    <w:rsid w:val="00A53278"/>
    <w:rsid w:val="00A60DA2"/>
    <w:rsid w:val="00A62663"/>
    <w:rsid w:val="00A6760A"/>
    <w:rsid w:val="00A67BFF"/>
    <w:rsid w:val="00A715FC"/>
    <w:rsid w:val="00A90172"/>
    <w:rsid w:val="00AA25C5"/>
    <w:rsid w:val="00AB0F2A"/>
    <w:rsid w:val="00AB1ABA"/>
    <w:rsid w:val="00AB3571"/>
    <w:rsid w:val="00AC2F28"/>
    <w:rsid w:val="00AC4512"/>
    <w:rsid w:val="00AC4B61"/>
    <w:rsid w:val="00AC5A7E"/>
    <w:rsid w:val="00B008EF"/>
    <w:rsid w:val="00B0535E"/>
    <w:rsid w:val="00B2535A"/>
    <w:rsid w:val="00B31DFF"/>
    <w:rsid w:val="00B406B1"/>
    <w:rsid w:val="00B407D9"/>
    <w:rsid w:val="00B42FED"/>
    <w:rsid w:val="00B430D3"/>
    <w:rsid w:val="00B43E94"/>
    <w:rsid w:val="00B519E8"/>
    <w:rsid w:val="00B60DAB"/>
    <w:rsid w:val="00B778AA"/>
    <w:rsid w:val="00B921C3"/>
    <w:rsid w:val="00BC2254"/>
    <w:rsid w:val="00BC2FD4"/>
    <w:rsid w:val="00BC52E8"/>
    <w:rsid w:val="00BC7386"/>
    <w:rsid w:val="00BE0971"/>
    <w:rsid w:val="00BF6702"/>
    <w:rsid w:val="00BF6F57"/>
    <w:rsid w:val="00BF702F"/>
    <w:rsid w:val="00C01FD6"/>
    <w:rsid w:val="00C06ECB"/>
    <w:rsid w:val="00C11355"/>
    <w:rsid w:val="00C148F7"/>
    <w:rsid w:val="00C217BA"/>
    <w:rsid w:val="00C273F8"/>
    <w:rsid w:val="00C33F97"/>
    <w:rsid w:val="00C346FB"/>
    <w:rsid w:val="00C44CAB"/>
    <w:rsid w:val="00C46184"/>
    <w:rsid w:val="00C5277D"/>
    <w:rsid w:val="00C57437"/>
    <w:rsid w:val="00C6685C"/>
    <w:rsid w:val="00C729B9"/>
    <w:rsid w:val="00C75520"/>
    <w:rsid w:val="00C801C6"/>
    <w:rsid w:val="00C828B3"/>
    <w:rsid w:val="00C84E82"/>
    <w:rsid w:val="00C90E87"/>
    <w:rsid w:val="00C93CD8"/>
    <w:rsid w:val="00C97080"/>
    <w:rsid w:val="00CB24AC"/>
    <w:rsid w:val="00CB4568"/>
    <w:rsid w:val="00CB799B"/>
    <w:rsid w:val="00CC54AE"/>
    <w:rsid w:val="00CC760F"/>
    <w:rsid w:val="00CD03B5"/>
    <w:rsid w:val="00CD61FE"/>
    <w:rsid w:val="00CE2E49"/>
    <w:rsid w:val="00CE32AB"/>
    <w:rsid w:val="00CF099A"/>
    <w:rsid w:val="00CF0CB8"/>
    <w:rsid w:val="00CF40B0"/>
    <w:rsid w:val="00D172B0"/>
    <w:rsid w:val="00D20D4D"/>
    <w:rsid w:val="00D234D8"/>
    <w:rsid w:val="00D52E41"/>
    <w:rsid w:val="00D7058A"/>
    <w:rsid w:val="00D717F7"/>
    <w:rsid w:val="00D84320"/>
    <w:rsid w:val="00D84925"/>
    <w:rsid w:val="00D866A2"/>
    <w:rsid w:val="00D9162A"/>
    <w:rsid w:val="00DB03AB"/>
    <w:rsid w:val="00DB33D9"/>
    <w:rsid w:val="00DB621C"/>
    <w:rsid w:val="00DC5F0C"/>
    <w:rsid w:val="00DD1781"/>
    <w:rsid w:val="00DF6B1F"/>
    <w:rsid w:val="00E12054"/>
    <w:rsid w:val="00E12257"/>
    <w:rsid w:val="00E133B0"/>
    <w:rsid w:val="00E3535E"/>
    <w:rsid w:val="00E35811"/>
    <w:rsid w:val="00E46D48"/>
    <w:rsid w:val="00E60E69"/>
    <w:rsid w:val="00E636AA"/>
    <w:rsid w:val="00E63E99"/>
    <w:rsid w:val="00E7119E"/>
    <w:rsid w:val="00E723DE"/>
    <w:rsid w:val="00E77225"/>
    <w:rsid w:val="00E82EE7"/>
    <w:rsid w:val="00E83EFA"/>
    <w:rsid w:val="00E91A34"/>
    <w:rsid w:val="00EE05E5"/>
    <w:rsid w:val="00EE7B1F"/>
    <w:rsid w:val="00EF2671"/>
    <w:rsid w:val="00EF3101"/>
    <w:rsid w:val="00F007EC"/>
    <w:rsid w:val="00F05E33"/>
    <w:rsid w:val="00F26E0A"/>
    <w:rsid w:val="00F3047D"/>
    <w:rsid w:val="00F31E8E"/>
    <w:rsid w:val="00F6147C"/>
    <w:rsid w:val="00F74DB0"/>
    <w:rsid w:val="00F92F2F"/>
    <w:rsid w:val="00FA46B8"/>
    <w:rsid w:val="00FB2874"/>
    <w:rsid w:val="00FB3D0B"/>
    <w:rsid w:val="00FC286C"/>
    <w:rsid w:val="00FC6C09"/>
    <w:rsid w:val="00FC6C8D"/>
    <w:rsid w:val="00FC7105"/>
    <w:rsid w:val="00FD4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2DB8"/>
  <w15:chartTrackingRefBased/>
  <w15:docId w15:val="{7C7DC0E3-A3B2-5D4A-B1AC-8CF60C10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B1F"/>
    <w:pPr>
      <w:tabs>
        <w:tab w:val="center" w:pos="4680"/>
        <w:tab w:val="right" w:pos="9360"/>
      </w:tabs>
    </w:pPr>
  </w:style>
  <w:style w:type="character" w:customStyle="1" w:styleId="HeaderChar">
    <w:name w:val="Header Char"/>
    <w:basedOn w:val="DefaultParagraphFont"/>
    <w:link w:val="Header"/>
    <w:uiPriority w:val="99"/>
    <w:rsid w:val="00EE7B1F"/>
  </w:style>
  <w:style w:type="paragraph" w:styleId="Footer">
    <w:name w:val="footer"/>
    <w:basedOn w:val="Normal"/>
    <w:link w:val="FooterChar"/>
    <w:uiPriority w:val="99"/>
    <w:unhideWhenUsed/>
    <w:rsid w:val="00EE7B1F"/>
    <w:pPr>
      <w:tabs>
        <w:tab w:val="center" w:pos="4680"/>
        <w:tab w:val="right" w:pos="9360"/>
      </w:tabs>
    </w:pPr>
  </w:style>
  <w:style w:type="character" w:customStyle="1" w:styleId="FooterChar">
    <w:name w:val="Footer Char"/>
    <w:basedOn w:val="DefaultParagraphFont"/>
    <w:link w:val="Footer"/>
    <w:uiPriority w:val="99"/>
    <w:rsid w:val="00EE7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King</dc:creator>
  <cp:keywords/>
  <dc:description/>
  <cp:lastModifiedBy>Holly King</cp:lastModifiedBy>
  <cp:revision>2</cp:revision>
  <cp:lastPrinted>2022-10-13T04:09:00Z</cp:lastPrinted>
  <dcterms:created xsi:type="dcterms:W3CDTF">2022-10-13T15:23:00Z</dcterms:created>
  <dcterms:modified xsi:type="dcterms:W3CDTF">2022-10-13T15:23:00Z</dcterms:modified>
</cp:coreProperties>
</file>