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8600704" wp14:paraId="06E98893" wp14:textId="5DAD6F8E">
      <w:pPr>
        <w:pStyle w:val="Heading1"/>
        <w:spacing w:before="322" w:beforeAutospacing="off" w:after="322" w:afterAutospacing="off"/>
      </w:pPr>
      <w:r w:rsidRPr="78600704" w:rsidR="28218220">
        <w:rPr>
          <w:rFonts w:ascii="Aptos" w:hAnsi="Aptos" w:eastAsia="Aptos" w:cs="Aptos"/>
          <w:b w:val="1"/>
          <w:bCs w:val="1"/>
          <w:noProof w:val="0"/>
          <w:sz w:val="48"/>
          <w:szCs w:val="48"/>
          <w:lang w:val="en-US"/>
        </w:rPr>
        <w:t>Ethics in Modern Litigation: AI, Electronic Evidence, and Expert Witnesses</w:t>
      </w:r>
    </w:p>
    <w:p xmlns:wp14="http://schemas.microsoft.com/office/word/2010/wordml" w:rsidP="78600704" wp14:paraId="0039449A" wp14:textId="0E4CDEB5">
      <w:pPr>
        <w:spacing w:before="240" w:beforeAutospacing="off" w:after="240" w:afterAutospacing="off"/>
      </w:pPr>
      <w:r w:rsidRPr="78600704" w:rsidR="28218220">
        <w:rPr>
          <w:rFonts w:ascii="Aptos" w:hAnsi="Aptos" w:eastAsia="Aptos" w:cs="Aptos"/>
          <w:noProof w:val="0"/>
          <w:sz w:val="24"/>
          <w:szCs w:val="24"/>
          <w:lang w:val="en-US"/>
        </w:rPr>
        <w:t>North Carolina Continuing Legal Education | Ethics Reference Guide</w:t>
      </w:r>
    </w:p>
    <w:p xmlns:wp14="http://schemas.microsoft.com/office/word/2010/wordml" w:rsidP="78600704" wp14:paraId="72BD3BC2" wp14:textId="0429965E">
      <w:pPr>
        <w:pStyle w:val="Heading2"/>
        <w:spacing w:before="299" w:beforeAutospacing="off" w:after="299" w:afterAutospacing="off"/>
      </w:pPr>
      <w:r w:rsidRPr="78600704" w:rsidR="28218220">
        <w:rPr>
          <w:rFonts w:ascii="Aptos" w:hAnsi="Aptos" w:eastAsia="Aptos" w:cs="Aptos"/>
          <w:b w:val="1"/>
          <w:bCs w:val="1"/>
          <w:noProof w:val="0"/>
          <w:sz w:val="36"/>
          <w:szCs w:val="36"/>
          <w:lang w:val="en-US"/>
        </w:rPr>
        <w:t>North Carolina Rules of Professional Conduct</w:t>
      </w:r>
    </w:p>
    <w:p xmlns:wp14="http://schemas.microsoft.com/office/word/2010/wordml" w:rsidP="78600704" wp14:paraId="2761ED27" wp14:textId="745BB1F0">
      <w:pPr>
        <w:spacing w:before="240" w:beforeAutospacing="off" w:after="240" w:afterAutospacing="off"/>
      </w:pPr>
      <w:r w:rsidRPr="78600704" w:rsidR="28218220">
        <w:rPr>
          <w:rFonts w:ascii="Aptos" w:hAnsi="Aptos" w:eastAsia="Aptos" w:cs="Aptos"/>
          <w:noProof w:val="0"/>
          <w:sz w:val="24"/>
          <w:szCs w:val="24"/>
          <w:lang w:val="en-US"/>
        </w:rPr>
        <w:t>The following rules govern attorneys' professional responsibilities when utilizing artificial intelligence, electronic evidence, forensic experts, and third-party technology providers in litigation.</w:t>
      </w:r>
    </w:p>
    <w:tbl>
      <w:tblPr>
        <w:tblStyle w:val="TableNormal"/>
        <w:bidiVisual w:val="0"/>
        <w:tblW w:w="0" w:type="auto"/>
        <w:tblLook w:val="06A0" w:firstRow="1" w:lastRow="0" w:firstColumn="1" w:lastColumn="0" w:noHBand="1" w:noVBand="1"/>
      </w:tblPr>
      <w:tblGrid>
        <w:gridCol w:w="2175"/>
        <w:gridCol w:w="7185"/>
      </w:tblGrid>
      <w:tr w:rsidR="78600704" w:rsidTr="78600704" w14:paraId="1AC26C8F">
        <w:trPr>
          <w:trHeight w:val="300"/>
        </w:trPr>
        <w:tc>
          <w:tcPr>
            <w:tcW w:w="2175" w:type="dxa"/>
            <w:tcMar/>
            <w:vAlign w:val="center"/>
          </w:tcPr>
          <w:p w:rsidR="78600704" w:rsidP="78600704" w:rsidRDefault="78600704" w14:paraId="1A6A88F0" w14:textId="208FD0F4">
            <w:pPr>
              <w:spacing w:before="240" w:beforeAutospacing="off" w:after="240" w:afterAutospacing="off"/>
              <w:jc w:val="center"/>
            </w:pPr>
            <w:r w:rsidRPr="78600704" w:rsidR="78600704">
              <w:rPr>
                <w:b w:val="1"/>
                <w:bCs w:val="1"/>
              </w:rPr>
              <w:t>Rule</w:t>
            </w:r>
          </w:p>
        </w:tc>
        <w:tc>
          <w:tcPr>
            <w:tcW w:w="7185" w:type="dxa"/>
            <w:tcMar/>
            <w:vAlign w:val="center"/>
          </w:tcPr>
          <w:p w:rsidR="78600704" w:rsidP="78600704" w:rsidRDefault="78600704" w14:paraId="2D1295E8" w14:textId="74BB31A5">
            <w:pPr>
              <w:spacing w:before="240" w:beforeAutospacing="off" w:after="240" w:afterAutospacing="off"/>
              <w:jc w:val="center"/>
            </w:pPr>
            <w:r w:rsidRPr="78600704" w:rsidR="78600704">
              <w:rPr>
                <w:b w:val="1"/>
                <w:bCs w:val="1"/>
              </w:rPr>
              <w:t>Ethical Obligation and Application</w:t>
            </w:r>
          </w:p>
        </w:tc>
      </w:tr>
      <w:tr w:rsidR="78600704" w:rsidTr="78600704" w14:paraId="2E63A784">
        <w:trPr>
          <w:trHeight w:val="300"/>
        </w:trPr>
        <w:tc>
          <w:tcPr>
            <w:tcW w:w="2175" w:type="dxa"/>
            <w:tcMar/>
            <w:vAlign w:val="center"/>
          </w:tcPr>
          <w:p w:rsidR="78600704" w:rsidP="78600704" w:rsidRDefault="78600704" w14:paraId="56B105AE" w14:textId="1535C259">
            <w:pPr>
              <w:spacing w:before="240" w:beforeAutospacing="off" w:after="240" w:afterAutospacing="off"/>
            </w:pPr>
            <w:hyperlink r:id="R10213ec4683a442b">
              <w:r w:rsidRPr="78600704" w:rsidR="78600704">
                <w:rPr>
                  <w:rStyle w:val="Hyperlink"/>
                </w:rPr>
                <w:t>Rule 1.1: Competence</w:t>
              </w:r>
            </w:hyperlink>
          </w:p>
        </w:tc>
        <w:tc>
          <w:tcPr>
            <w:tcW w:w="7185" w:type="dxa"/>
            <w:tcMar/>
            <w:vAlign w:val="center"/>
          </w:tcPr>
          <w:p w:rsidR="78600704" w:rsidP="78600704" w:rsidRDefault="78600704" w14:paraId="0C9FAD19" w14:textId="72C568C0">
            <w:pPr>
              <w:spacing w:before="240" w:beforeAutospacing="off" w:after="240" w:afterAutospacing="off"/>
            </w:pPr>
            <w:r w:rsidR="78600704">
              <w:rPr/>
              <w:t>Requires competent representation, including an understanding of the benefits and risks of relevant technology. Attorneys must appropriately evaluate AI-generated information and electronic evidence.</w:t>
            </w:r>
          </w:p>
        </w:tc>
      </w:tr>
      <w:tr w:rsidR="78600704" w:rsidTr="78600704" w14:paraId="6AADA4AD">
        <w:trPr>
          <w:trHeight w:val="300"/>
        </w:trPr>
        <w:tc>
          <w:tcPr>
            <w:tcW w:w="2175" w:type="dxa"/>
            <w:tcMar/>
            <w:vAlign w:val="center"/>
          </w:tcPr>
          <w:p w:rsidR="78600704" w:rsidP="78600704" w:rsidRDefault="78600704" w14:paraId="79C25550" w14:textId="178AC697">
            <w:pPr>
              <w:spacing w:before="240" w:beforeAutospacing="off" w:after="240" w:afterAutospacing="off"/>
            </w:pPr>
            <w:r w:rsidR="78600704">
              <w:rPr/>
              <w:t>Rule 1.6: Confidentiality of Information</w:t>
            </w:r>
          </w:p>
        </w:tc>
        <w:tc>
          <w:tcPr>
            <w:tcW w:w="7185" w:type="dxa"/>
            <w:tcMar/>
            <w:vAlign w:val="center"/>
          </w:tcPr>
          <w:p w:rsidR="78600704" w:rsidP="78600704" w:rsidRDefault="78600704" w14:paraId="7D540856" w14:textId="7A13B587">
            <w:pPr>
              <w:spacing w:before="240" w:beforeAutospacing="off" w:after="240" w:afterAutospacing="off"/>
            </w:pPr>
            <w:r w:rsidR="78600704">
              <w:rPr/>
              <w:t>Requires protection of information relating to client representation, including when using AI platforms, forensic experts, cloud services, and third-party vendors.</w:t>
            </w:r>
          </w:p>
        </w:tc>
      </w:tr>
      <w:tr w:rsidR="78600704" w:rsidTr="78600704" w14:paraId="1E4A2512">
        <w:trPr>
          <w:trHeight w:val="300"/>
        </w:trPr>
        <w:tc>
          <w:tcPr>
            <w:tcW w:w="2175" w:type="dxa"/>
            <w:tcMar/>
            <w:vAlign w:val="center"/>
          </w:tcPr>
          <w:p w:rsidR="78600704" w:rsidP="78600704" w:rsidRDefault="78600704" w14:paraId="1D979E98" w14:textId="537EBE03">
            <w:pPr>
              <w:spacing w:before="240" w:beforeAutospacing="off" w:after="240" w:afterAutospacing="off"/>
            </w:pPr>
            <w:r w:rsidR="78600704">
              <w:rPr/>
              <w:t>Rule 3.3: Candor Toward the Tribunal</w:t>
            </w:r>
          </w:p>
        </w:tc>
        <w:tc>
          <w:tcPr>
            <w:tcW w:w="7185" w:type="dxa"/>
            <w:tcMar/>
            <w:vAlign w:val="center"/>
          </w:tcPr>
          <w:p w:rsidR="78600704" w:rsidP="78600704" w:rsidRDefault="78600704" w14:paraId="315A8049" w14:textId="1F73641A">
            <w:pPr>
              <w:spacing w:before="240" w:beforeAutospacing="off" w:after="240" w:afterAutospacing="off"/>
            </w:pPr>
            <w:r w:rsidR="78600704">
              <w:rPr/>
              <w:t>Prohibits knowingly presenting false statements or evidence. Attorneys must independently verify AI-generated legal authorities and ensure the accuracy of representations concerning electronic evidence.</w:t>
            </w:r>
          </w:p>
        </w:tc>
      </w:tr>
      <w:tr w:rsidR="78600704" w:rsidTr="78600704" w14:paraId="1A305202">
        <w:trPr>
          <w:trHeight w:val="300"/>
        </w:trPr>
        <w:tc>
          <w:tcPr>
            <w:tcW w:w="2175" w:type="dxa"/>
            <w:tcMar/>
            <w:vAlign w:val="center"/>
          </w:tcPr>
          <w:p w:rsidR="78600704" w:rsidP="78600704" w:rsidRDefault="78600704" w14:paraId="2AE2E76C" w14:textId="5F0FA582">
            <w:pPr>
              <w:spacing w:before="240" w:beforeAutospacing="off" w:after="240" w:afterAutospacing="off"/>
            </w:pPr>
            <w:r w:rsidR="78600704">
              <w:rPr/>
              <w:t>Rule 3.4: Fairness to Opposing Party and Counsel</w:t>
            </w:r>
          </w:p>
        </w:tc>
        <w:tc>
          <w:tcPr>
            <w:tcW w:w="7185" w:type="dxa"/>
            <w:tcMar/>
            <w:vAlign w:val="center"/>
          </w:tcPr>
          <w:p w:rsidR="78600704" w:rsidP="78600704" w:rsidRDefault="78600704" w14:paraId="54966B71" w14:textId="4DB01D86">
            <w:pPr>
              <w:spacing w:before="240" w:beforeAutospacing="off" w:after="240" w:afterAutospacing="off"/>
            </w:pPr>
            <w:r w:rsidR="78600704">
              <w:rPr/>
              <w:t>Addresses preservation, discovery, and presentation of evidence, including electronic information. Also prohibits falsification of evidence, assisting false testimony, and improper witness inducements.</w:t>
            </w:r>
          </w:p>
        </w:tc>
      </w:tr>
      <w:tr w:rsidR="78600704" w:rsidTr="78600704" w14:paraId="767704BE">
        <w:trPr>
          <w:trHeight w:val="300"/>
        </w:trPr>
        <w:tc>
          <w:tcPr>
            <w:tcW w:w="2175" w:type="dxa"/>
            <w:tcMar/>
            <w:vAlign w:val="center"/>
          </w:tcPr>
          <w:p w:rsidR="78600704" w:rsidP="78600704" w:rsidRDefault="78600704" w14:paraId="419B1FEC" w14:textId="140333C2">
            <w:pPr>
              <w:spacing w:before="240" w:beforeAutospacing="off" w:after="240" w:afterAutospacing="off"/>
            </w:pPr>
            <w:r w:rsidR="78600704">
              <w:rPr/>
              <w:t>Rule 5.3: Responsibilities Regarding Nonlawyer Assistance</w:t>
            </w:r>
          </w:p>
        </w:tc>
        <w:tc>
          <w:tcPr>
            <w:tcW w:w="7185" w:type="dxa"/>
            <w:tcMar/>
            <w:vAlign w:val="center"/>
          </w:tcPr>
          <w:p w:rsidR="78600704" w:rsidP="78600704" w:rsidRDefault="78600704" w14:paraId="5600296E" w14:textId="628B30A8">
            <w:pPr>
              <w:spacing w:before="240" w:beforeAutospacing="off" w:after="240" w:afterAutospacing="off"/>
            </w:pPr>
            <w:r w:rsidR="78600704">
              <w:rPr/>
              <w:t>Requires appropriate oversight of nonlawyer personnel and outside service providers, including forensic experts, litigation support vendors, and AI technology providers.</w:t>
            </w:r>
          </w:p>
        </w:tc>
      </w:tr>
    </w:tbl>
    <w:p xmlns:wp14="http://schemas.microsoft.com/office/word/2010/wordml" w:rsidP="78600704" wp14:paraId="00EE0FB7" wp14:textId="7BD2983E">
      <w:pPr>
        <w:bidi w:val="0"/>
        <w:spacing w:before="240" w:beforeAutospacing="off" w:after="240" w:afterAutospacing="off"/>
      </w:pPr>
      <w:r w:rsidRPr="78600704" w:rsidR="28218220">
        <w:rPr>
          <w:rFonts w:ascii="Aptos" w:hAnsi="Aptos" w:eastAsia="Aptos" w:cs="Aptos"/>
          <w:noProof w:val="0"/>
          <w:sz w:val="24"/>
          <w:szCs w:val="24"/>
          <w:lang w:val="en-US"/>
        </w:rPr>
        <w:t xml:space="preserve">The complete text of each rule, including official comments and related ethics opinions, is available through the </w:t>
      </w:r>
      <w:hyperlink r:id="Re523f122b35b4eb1">
        <w:r w:rsidRPr="78600704" w:rsidR="28218220">
          <w:rPr>
            <w:rStyle w:val="Hyperlink"/>
            <w:noProof w:val="0"/>
            <w:lang w:val="en-US"/>
          </w:rPr>
          <w:t>North Carolina State Bar Rules of Professional Conduct</w:t>
        </w:r>
      </w:hyperlink>
      <w:r w:rsidRPr="78600704" w:rsidR="28218220">
        <w:rPr>
          <w:rFonts w:ascii="Aptos" w:hAnsi="Aptos" w:eastAsia="Aptos" w:cs="Aptos"/>
          <w:noProof w:val="0"/>
          <w:sz w:val="24"/>
          <w:szCs w:val="24"/>
          <w:lang w:val="en-US"/>
        </w:rPr>
        <w:t>.</w:t>
      </w:r>
    </w:p>
    <w:p xmlns:wp14="http://schemas.microsoft.com/office/word/2010/wordml" w:rsidP="78600704" wp14:paraId="742BE8A8" wp14:textId="2C3E1CAE">
      <w:pPr>
        <w:pStyle w:val="Heading2"/>
        <w:bidi w:val="0"/>
        <w:spacing w:before="299" w:beforeAutospacing="off" w:after="299" w:afterAutospacing="off"/>
      </w:pPr>
      <w:r w:rsidRPr="78600704" w:rsidR="28218220">
        <w:rPr>
          <w:rFonts w:ascii="Aptos" w:hAnsi="Aptos" w:eastAsia="Aptos" w:cs="Aptos"/>
          <w:b w:val="1"/>
          <w:bCs w:val="1"/>
          <w:noProof w:val="0"/>
          <w:sz w:val="36"/>
          <w:szCs w:val="36"/>
          <w:lang w:val="en-US"/>
        </w:rPr>
        <w:t>North Carolina State Bar Guidance on Artificial Intelligence</w:t>
      </w:r>
    </w:p>
    <w:p xmlns:wp14="http://schemas.microsoft.com/office/word/2010/wordml" w:rsidP="78600704" wp14:paraId="629708B0" wp14:textId="6800E8FB">
      <w:pPr>
        <w:bidi w:val="0"/>
        <w:spacing w:before="240" w:beforeAutospacing="off" w:after="240" w:afterAutospacing="off"/>
      </w:pPr>
      <w:r w:rsidRPr="78600704" w:rsidR="28218220">
        <w:rPr>
          <w:rFonts w:ascii="Aptos" w:hAnsi="Aptos" w:eastAsia="Aptos" w:cs="Aptos"/>
          <w:noProof w:val="0"/>
          <w:sz w:val="24"/>
          <w:szCs w:val="24"/>
          <w:lang w:val="en-US"/>
        </w:rPr>
        <w:t>2024 Formal Ethics Opinion 1: Use of Artificial Intelligence in a Law Practice</w:t>
      </w:r>
    </w:p>
    <w:p xmlns:wp14="http://schemas.microsoft.com/office/word/2010/wordml" w:rsidP="78600704" wp14:paraId="17A40DA2" wp14:textId="218F70D1">
      <w:pPr>
        <w:bidi w:val="0"/>
        <w:spacing w:before="240" w:beforeAutospacing="off" w:after="240" w:afterAutospacing="off"/>
      </w:pPr>
      <w:r w:rsidRPr="78600704" w:rsidR="28218220">
        <w:rPr>
          <w:rFonts w:ascii="Aptos" w:hAnsi="Aptos" w:eastAsia="Aptos" w:cs="Aptos"/>
          <w:noProof w:val="0"/>
          <w:sz w:val="24"/>
          <w:szCs w:val="24"/>
          <w:lang w:val="en-US"/>
        </w:rPr>
        <w:t>Adopted November 1, 2024.</w:t>
      </w:r>
    </w:p>
    <w:p xmlns:wp14="http://schemas.microsoft.com/office/word/2010/wordml" w:rsidP="78600704" wp14:paraId="6BACF896" wp14:textId="790974DA">
      <w:pPr>
        <w:bidi w:val="0"/>
        <w:spacing w:before="240" w:beforeAutospacing="off" w:after="240" w:afterAutospacing="off"/>
      </w:pPr>
      <w:r w:rsidRPr="78600704" w:rsidR="28218220">
        <w:rPr>
          <w:rFonts w:ascii="Aptos" w:hAnsi="Aptos" w:eastAsia="Aptos" w:cs="Aptos"/>
          <w:noProof w:val="0"/>
          <w:sz w:val="24"/>
          <w:szCs w:val="24"/>
          <w:lang w:val="en-US"/>
        </w:rPr>
        <w:t xml:space="preserve">This opinion specifically addresses attorneys' ethical obligations when incorporating AI into legal practice. It confirms that attorneys may use AI provided they maintain competence, protect client confidentiality, appropriately supervise its use, and exercise independent professional judgment. It also addresses client communication, consent, and billing considerations. </w:t>
      </w:r>
    </w:p>
    <w:p xmlns:wp14="http://schemas.microsoft.com/office/word/2010/wordml" w:rsidP="78600704" wp14:paraId="55E06081" wp14:textId="23303050">
      <w:pPr>
        <w:bidi w:val="0"/>
        <w:spacing w:before="0" w:beforeAutospacing="off" w:after="0" w:afterAutospacing="off"/>
      </w:pPr>
      <w:r w:rsidR="28218220">
        <w:drawing>
          <wp:inline xmlns:wp14="http://schemas.microsoft.com/office/word/2010/wordprocessingDrawing" wp14:editId="620848BB" wp14:anchorId="19596282">
            <wp:extent cx="304800" cy="304800"/>
            <wp:effectExtent l="0" t="0" r="0" b="0"/>
            <wp:docPr id="10160798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16079829" name="Picture 1016079829"/>
                    <pic:cNvPicPr/>
                  </pic:nvPicPr>
                  <pic:blipFill>
                    <a:blip xmlns:r="http://schemas.openxmlformats.org/officeDocument/2006/relationships" r:embed="rId234190803">
                      <a:extLst>
                        <a:ext uri="{28A0092B-C50C-407E-A947-70E740481C1C}">
                          <a14:useLocalDpi xmlns:a14="http://schemas.microsoft.com/office/drawing/2010/main"/>
                        </a:ext>
                      </a:extLst>
                    </a:blip>
                    <a:stretch>
                      <a:fillRect/>
                    </a:stretch>
                  </pic:blipFill>
                  <pic:spPr>
                    <a:xfrm>
                      <a:off x="0" y="0"/>
                      <a:ext cx="304800" cy="304800"/>
                    </a:xfrm>
                    <a:prstGeom prst="rect">
                      <a:avLst/>
                    </a:prstGeom>
                  </pic:spPr>
                </pic:pic>
              </a:graphicData>
            </a:graphic>
          </wp:inline>
        </w:drawing>
      </w:r>
    </w:p>
    <w:p xmlns:wp14="http://schemas.microsoft.com/office/word/2010/wordml" w:rsidP="78600704" wp14:paraId="4ACF7635" wp14:textId="1A87F0D2">
      <w:pPr>
        <w:bidi w:val="0"/>
        <w:spacing w:before="0" w:beforeAutospacing="off" w:after="0" w:afterAutospacing="off"/>
      </w:pPr>
      <w:r w:rsidRPr="78600704" w:rsidR="28218220">
        <w:rPr>
          <w:rFonts w:ascii="Aptos" w:hAnsi="Aptos" w:eastAsia="Aptos" w:cs="Aptos"/>
          <w:noProof w:val="0"/>
          <w:sz w:val="24"/>
          <w:szCs w:val="24"/>
          <w:lang w:val="en-US"/>
        </w:rPr>
        <w:t>North Carolina State Bar</w:t>
      </w:r>
    </w:p>
    <w:p xmlns:wp14="http://schemas.microsoft.com/office/word/2010/wordml" w:rsidP="78600704" wp14:paraId="110A6158" wp14:textId="6ACF85D1">
      <w:pPr>
        <w:bidi w:val="0"/>
        <w:spacing w:before="0" w:beforeAutospacing="off" w:after="0" w:afterAutospacing="off"/>
      </w:pPr>
      <w:hyperlink r:id="R8d144505708344de">
        <w:r w:rsidRPr="78600704" w:rsidR="28218220">
          <w:rPr>
            <w:rStyle w:val="Hyperlink"/>
            <w:noProof w:val="0"/>
            <w:lang w:val="en-US"/>
          </w:rPr>
          <w:t>Read 2024 Formal Ethics Opinion 1</w:t>
        </w:r>
      </w:hyperlink>
    </w:p>
    <w:p xmlns:wp14="http://schemas.microsoft.com/office/word/2010/wordml" w:rsidP="78600704" wp14:paraId="493C0933" wp14:textId="7BB1D343">
      <w:pPr>
        <w:pStyle w:val="Heading2"/>
        <w:bidi w:val="0"/>
        <w:spacing w:before="299" w:beforeAutospacing="off" w:after="299" w:afterAutospacing="off"/>
      </w:pPr>
      <w:r w:rsidRPr="78600704" w:rsidR="28218220">
        <w:rPr>
          <w:rFonts w:ascii="Aptos" w:hAnsi="Aptos" w:eastAsia="Aptos" w:cs="Aptos"/>
          <w:b w:val="1"/>
          <w:bCs w:val="1"/>
          <w:noProof w:val="0"/>
          <w:sz w:val="36"/>
          <w:szCs w:val="36"/>
          <w:lang w:val="en-US"/>
        </w:rPr>
        <w:t>Additional Resources</w:t>
      </w:r>
    </w:p>
    <w:p xmlns:wp14="http://schemas.microsoft.com/office/word/2010/wordml" w:rsidP="78600704" wp14:paraId="377259E5" wp14:textId="65129475">
      <w:pPr>
        <w:pStyle w:val="ListParagraph"/>
        <w:numPr>
          <w:ilvl w:val="0"/>
          <w:numId w:val="1"/>
        </w:numPr>
        <w:bidi w:val="0"/>
        <w:spacing w:before="240" w:beforeAutospacing="off" w:after="240" w:afterAutospacing="off"/>
        <w:rPr>
          <w:rFonts w:ascii="Aptos" w:hAnsi="Aptos" w:eastAsia="Aptos" w:cs="Aptos"/>
          <w:noProof w:val="0"/>
          <w:sz w:val="24"/>
          <w:szCs w:val="24"/>
          <w:lang w:val="en-US"/>
        </w:rPr>
      </w:pPr>
      <w:hyperlink r:id="R76cff47b1ed849e3">
        <w:r w:rsidRPr="78600704" w:rsidR="28218220">
          <w:rPr>
            <w:rStyle w:val="Hyperlink"/>
            <w:noProof w:val="0"/>
            <w:lang w:val="en-US"/>
          </w:rPr>
          <w:t>NC State Bar: Ethics and Governing Rules</w:t>
        </w:r>
      </w:hyperlink>
      <w:r w:rsidRPr="78600704" w:rsidR="28218220">
        <w:rPr>
          <w:rFonts w:ascii="Aptos" w:hAnsi="Aptos" w:eastAsia="Aptos" w:cs="Aptos"/>
          <w:noProof w:val="0"/>
          <w:sz w:val="24"/>
          <w:szCs w:val="24"/>
          <w:lang w:val="en-US"/>
        </w:rPr>
        <w:t xml:space="preserve"> </w:t>
      </w:r>
      <w:r w:rsidRPr="78600704" w:rsidR="28218220">
        <w:rPr>
          <w:rFonts w:ascii="Aptos" w:hAnsi="Aptos" w:eastAsia="Aptos" w:cs="Aptos"/>
          <w:noProof w:val="0"/>
          <w:sz w:val="24"/>
          <w:szCs w:val="24"/>
          <w:lang w:val="en-US"/>
        </w:rPr>
        <w:t>— Central resource for professional responsibility guidance, rules, and ethics opinions.</w:t>
      </w:r>
    </w:p>
    <w:p xmlns:wp14="http://schemas.microsoft.com/office/word/2010/wordml" w:rsidP="78600704" wp14:paraId="2D783249" wp14:textId="692F176F">
      <w:pPr>
        <w:pStyle w:val="ListParagraph"/>
        <w:numPr>
          <w:ilvl w:val="0"/>
          <w:numId w:val="1"/>
        </w:numPr>
        <w:bidi w:val="0"/>
        <w:spacing w:before="240" w:beforeAutospacing="off" w:after="240" w:afterAutospacing="off"/>
        <w:rPr>
          <w:rFonts w:ascii="Aptos" w:hAnsi="Aptos" w:eastAsia="Aptos" w:cs="Aptos"/>
          <w:noProof w:val="0"/>
          <w:sz w:val="24"/>
          <w:szCs w:val="24"/>
          <w:lang w:val="en-US"/>
        </w:rPr>
      </w:pPr>
      <w:hyperlink r:id="Rda89828e00514d82">
        <w:r w:rsidRPr="78600704" w:rsidR="28218220">
          <w:rPr>
            <w:rStyle w:val="Hyperlink"/>
            <w:noProof w:val="0"/>
            <w:lang w:val="en-US"/>
          </w:rPr>
          <w:t>NC State Bar: Adopted Ethics Opinions</w:t>
        </w:r>
      </w:hyperlink>
      <w:r w:rsidRPr="78600704" w:rsidR="28218220">
        <w:rPr>
          <w:rFonts w:ascii="Aptos" w:hAnsi="Aptos" w:eastAsia="Aptos" w:cs="Aptos"/>
          <w:noProof w:val="0"/>
          <w:sz w:val="24"/>
          <w:szCs w:val="24"/>
          <w:lang w:val="en-US"/>
        </w:rPr>
        <w:t xml:space="preserve"> </w:t>
      </w:r>
      <w:r w:rsidRPr="78600704" w:rsidR="28218220">
        <w:rPr>
          <w:rFonts w:ascii="Aptos" w:hAnsi="Aptos" w:eastAsia="Aptos" w:cs="Aptos"/>
          <w:noProof w:val="0"/>
          <w:sz w:val="24"/>
          <w:szCs w:val="24"/>
          <w:lang w:val="en-US"/>
        </w:rPr>
        <w:t>— Searchable collection of formal ethics opinions.</w:t>
      </w:r>
    </w:p>
    <w:p xmlns:wp14="http://schemas.microsoft.com/office/word/2010/wordml" w:rsidP="78600704" wp14:paraId="51F28203" wp14:textId="4C5CA5E1">
      <w:pPr>
        <w:pStyle w:val="ListParagraph"/>
        <w:numPr>
          <w:ilvl w:val="0"/>
          <w:numId w:val="1"/>
        </w:numPr>
        <w:bidi w:val="0"/>
        <w:spacing w:before="240" w:beforeAutospacing="off" w:after="240" w:afterAutospacing="off"/>
        <w:rPr>
          <w:rFonts w:ascii="Aptos" w:hAnsi="Aptos" w:eastAsia="Aptos" w:cs="Aptos"/>
          <w:noProof w:val="0"/>
          <w:sz w:val="24"/>
          <w:szCs w:val="24"/>
          <w:lang w:val="en-US"/>
        </w:rPr>
      </w:pPr>
      <w:hyperlink r:id="R069ada8652f24b03">
        <w:r w:rsidRPr="78600704" w:rsidR="28218220">
          <w:rPr>
            <w:rStyle w:val="Hyperlink"/>
            <w:noProof w:val="0"/>
            <w:lang w:val="en-US"/>
          </w:rPr>
          <w:t>North Carolina Rules of Civil Procedure</w:t>
        </w:r>
      </w:hyperlink>
      <w:r w:rsidRPr="78600704" w:rsidR="28218220">
        <w:rPr>
          <w:rFonts w:ascii="Aptos" w:hAnsi="Aptos" w:eastAsia="Aptos" w:cs="Aptos"/>
          <w:noProof w:val="0"/>
          <w:sz w:val="24"/>
          <w:szCs w:val="24"/>
          <w:lang w:val="en-US"/>
        </w:rPr>
        <w:t xml:space="preserve"> </w:t>
      </w:r>
      <w:r w:rsidRPr="78600704" w:rsidR="28218220">
        <w:rPr>
          <w:rFonts w:ascii="Aptos" w:hAnsi="Aptos" w:eastAsia="Aptos" w:cs="Aptos"/>
          <w:noProof w:val="0"/>
          <w:sz w:val="24"/>
          <w:szCs w:val="24"/>
          <w:lang w:val="en-US"/>
        </w:rPr>
        <w:t>— Including Rules 26 and 37 concerning discovery and related obligations.</w:t>
      </w:r>
    </w:p>
    <w:p xmlns:wp14="http://schemas.microsoft.com/office/word/2010/wordml" w:rsidP="78600704" wp14:paraId="0BE1D479" wp14:textId="7B22736F">
      <w:pPr>
        <w:pStyle w:val="ListParagraph"/>
        <w:numPr>
          <w:ilvl w:val="0"/>
          <w:numId w:val="1"/>
        </w:numPr>
        <w:bidi w:val="0"/>
        <w:spacing w:before="240" w:beforeAutospacing="off" w:after="240" w:afterAutospacing="off"/>
        <w:rPr>
          <w:rFonts w:ascii="Aptos" w:hAnsi="Aptos" w:eastAsia="Aptos" w:cs="Aptos"/>
          <w:noProof w:val="0"/>
          <w:sz w:val="24"/>
          <w:szCs w:val="24"/>
          <w:lang w:val="en-US"/>
        </w:rPr>
      </w:pPr>
      <w:hyperlink r:id="Rd8bb31c4961e449b">
        <w:r w:rsidRPr="78600704" w:rsidR="28218220">
          <w:rPr>
            <w:rStyle w:val="Hyperlink"/>
            <w:noProof w:val="0"/>
            <w:lang w:val="en-US"/>
          </w:rPr>
          <w:t>North Carolina Rules of Evidence</w:t>
        </w:r>
      </w:hyperlink>
      <w:r w:rsidRPr="78600704" w:rsidR="28218220">
        <w:rPr>
          <w:rFonts w:ascii="Aptos" w:hAnsi="Aptos" w:eastAsia="Aptos" w:cs="Aptos"/>
          <w:noProof w:val="0"/>
          <w:sz w:val="24"/>
          <w:szCs w:val="24"/>
          <w:lang w:val="en-US"/>
        </w:rPr>
        <w:t xml:space="preserve"> </w:t>
      </w:r>
      <w:r w:rsidRPr="78600704" w:rsidR="28218220">
        <w:rPr>
          <w:rFonts w:ascii="Aptos" w:hAnsi="Aptos" w:eastAsia="Aptos" w:cs="Aptos"/>
          <w:noProof w:val="0"/>
          <w:sz w:val="24"/>
          <w:szCs w:val="24"/>
          <w:lang w:val="en-US"/>
        </w:rPr>
        <w:t>— Including Rules 702 and 901 governing expert testimony and authentication.</w:t>
      </w:r>
    </w:p>
    <w:p xmlns:wp14="http://schemas.microsoft.com/office/word/2010/wordml" w:rsidP="78600704" wp14:paraId="00555E95" wp14:textId="590C33CD">
      <w:pPr>
        <w:pStyle w:val="Heading2"/>
        <w:bidi w:val="0"/>
        <w:spacing w:before="299" w:beforeAutospacing="off" w:after="299" w:afterAutospacing="off"/>
      </w:pPr>
      <w:r w:rsidRPr="78600704" w:rsidR="28218220">
        <w:rPr>
          <w:rFonts w:ascii="Aptos" w:hAnsi="Aptos" w:eastAsia="Aptos" w:cs="Aptos"/>
          <w:b w:val="1"/>
          <w:bCs w:val="1"/>
          <w:noProof w:val="0"/>
          <w:sz w:val="36"/>
          <w:szCs w:val="36"/>
          <w:lang w:val="en-US"/>
        </w:rPr>
        <w:t>Key Ethical Considerations</w:t>
      </w:r>
    </w:p>
    <w:p xmlns:wp14="http://schemas.microsoft.com/office/word/2010/wordml" w:rsidP="78600704" wp14:paraId="2CA556D4" wp14:textId="0C78624E">
      <w:pPr>
        <w:bidi w:val="0"/>
        <w:spacing w:before="240" w:beforeAutospacing="off" w:after="240" w:afterAutospacing="off"/>
      </w:pPr>
      <w:r w:rsidRPr="78600704" w:rsidR="28218220">
        <w:rPr>
          <w:rFonts w:ascii="Aptos" w:hAnsi="Aptos" w:eastAsia="Aptos" w:cs="Aptos"/>
          <w:noProof w:val="0"/>
          <w:sz w:val="24"/>
          <w:szCs w:val="24"/>
          <w:lang w:val="en-US"/>
        </w:rPr>
        <w:t>Attorneys should remain mindful that the use of AI, forensic specialists, and other litigation technologies does not eliminate their independent professional responsibilities. Appropriate safeguards include protecting confidential information, supervising third-party assistance, preserving electronic evidence, ensuring the integrity of expert testimony, and independently verifying AI-generated research and analysis before relying upon it in litigation.</w:t>
      </w:r>
    </w:p>
    <w:p xmlns:wp14="http://schemas.microsoft.com/office/word/2010/wordml" w:rsidP="78600704" wp14:paraId="71125649" wp14:textId="754C53D4">
      <w:pPr>
        <w:bidi w:val="0"/>
        <w:spacing w:before="240" w:beforeAutospacing="off" w:after="240" w:afterAutospacing="off"/>
      </w:pPr>
      <w:r w:rsidRPr="78600704" w:rsidR="28218220">
        <w:rPr>
          <w:rFonts w:ascii="Aptos" w:hAnsi="Aptos" w:eastAsia="Aptos" w:cs="Aptos"/>
          <w:noProof w:val="0"/>
          <w:sz w:val="24"/>
          <w:szCs w:val="24"/>
          <w:lang w:val="en-US"/>
        </w:rPr>
        <w:t>This reference guide is intended to accompany the CLE presentation and direct attendees to the applicable professional responsibility authorities.</w:t>
      </w:r>
    </w:p>
    <w:p xmlns:wp14="http://schemas.microsoft.com/office/word/2010/wordml" wp14:paraId="2C078E63" wp14:textId="72EA8220"/>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9db1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82BED"/>
    <w:rsid w:val="28218220"/>
    <w:rsid w:val="78600704"/>
    <w:rsid w:val="7F682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534C7"/>
  <w15:chartTrackingRefBased/>
  <w15:docId w15:val="{27C007DD-3155-4E1D-970A-BC2F167A89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7860070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860070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78600704"/>
    <w:pPr>
      <w:spacing/>
      <w:ind w:left="720"/>
      <w:contextualSpacing/>
    </w:pPr>
  </w:style>
  <w:style w:type="character" w:styleId="Hyperlink">
    <w:uiPriority w:val="99"/>
    <w:name w:val="Hyperlink"/>
    <w:basedOn w:val="DefaultParagraphFont"/>
    <w:unhideWhenUsed/>
    <w:rsid w:val="78600704"/>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ncbar.gov/for-lawyers/ethics-and-governing-rules/rules-of-professional-conduct/10-119-client-lawyer-relationship/11-competence/" TargetMode="External" Id="R10213ec4683a442b" /><Relationship Type="http://schemas.openxmlformats.org/officeDocument/2006/relationships/hyperlink" Target="https://www.ncbar.gov/for-lawyers/ethics-and-governing-rules/rules-of-professional-conduct/" TargetMode="External" Id="Re523f122b35b4eb1" /><Relationship Type="http://schemas.openxmlformats.org/officeDocument/2006/relationships/image" Target="/media/image.png" Id="rId234190803" /><Relationship Type="http://schemas.openxmlformats.org/officeDocument/2006/relationships/hyperlink" Target="https://www.ncbar.gov/for-lawyers/ethics/adopted-opinions/2024-formal-ethics-opinion-1/" TargetMode="External" Id="R8d144505708344de" /><Relationship Type="http://schemas.openxmlformats.org/officeDocument/2006/relationships/hyperlink" Target="https://www.ncbar.gov/for-lawyers/ethics-and-governing-rules/" TargetMode="External" Id="R76cff47b1ed849e3" /><Relationship Type="http://schemas.openxmlformats.org/officeDocument/2006/relationships/hyperlink" Target="https://www.ncbar.gov/for-lawyers/ethics/adopted-opinions/" TargetMode="External" Id="Rda89828e00514d82" /><Relationship Type="http://schemas.openxmlformats.org/officeDocument/2006/relationships/hyperlink" Target="https://www.ncleg.gov/Laws/GeneralStatuteSections/Chapter1A" TargetMode="External" Id="R069ada8652f24b03" /><Relationship Type="http://schemas.openxmlformats.org/officeDocument/2006/relationships/hyperlink" Target="https://www.ncleg.gov/Laws/GeneralStatuteSections/Chapter8C" TargetMode="External" Id="Rd8bb31c4961e449b" /><Relationship Type="http://schemas.openxmlformats.org/officeDocument/2006/relationships/numbering" Target="numbering.xml" Id="Rff4653f7b1524c5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2026-10-09T18:26:43.6480556Z</dcterms:created>
  <dcterms:modified xsi:type="dcterms:W3CDTF">2026-10-09T18:27:28.8793722Z</dcterms:modified>
  <dc:creator>Sandy Fried</dc:creator>
  <lastModifiedBy>Sandy Fried</lastModifiedBy>
</coreProperties>
</file>