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6EE5F" w14:textId="5F9C9C8E" w:rsidR="004C1FE3" w:rsidRPr="00050903" w:rsidRDefault="00EA0AEC" w:rsidP="00050903">
      <w:pPr>
        <w:spacing w:after="0"/>
        <w:jc w:val="center"/>
        <w:rPr>
          <w:rFonts w:ascii="Century Schoolbook" w:hAnsi="Century Schoolbook"/>
          <w:sz w:val="40"/>
          <w:szCs w:val="40"/>
        </w:rPr>
      </w:pPr>
      <w:r>
        <w:rPr>
          <w:rFonts w:ascii="Century Schoolbook" w:hAnsi="Century Schoolbook"/>
          <w:sz w:val="40"/>
          <w:szCs w:val="40"/>
        </w:rPr>
        <w:t>Wake County Bar Association</w:t>
      </w:r>
    </w:p>
    <w:p w14:paraId="27039053" w14:textId="19570DCB" w:rsidR="004C1FE3" w:rsidRPr="00050903" w:rsidRDefault="00EA0AEC" w:rsidP="00050903">
      <w:pPr>
        <w:spacing w:after="0"/>
        <w:jc w:val="center"/>
        <w:rPr>
          <w:rFonts w:ascii="Century Schoolbook" w:hAnsi="Century Schoolbook"/>
          <w:sz w:val="32"/>
          <w:szCs w:val="32"/>
        </w:rPr>
      </w:pPr>
      <w:r>
        <w:rPr>
          <w:rFonts w:ascii="Century Schoolbook" w:hAnsi="Century Schoolbook"/>
          <w:sz w:val="32"/>
          <w:szCs w:val="32"/>
        </w:rPr>
        <w:t>October 9,</w:t>
      </w:r>
      <w:r w:rsidR="004C1FE3" w:rsidRPr="00050903">
        <w:rPr>
          <w:rFonts w:ascii="Century Schoolbook" w:hAnsi="Century Schoolbook"/>
          <w:sz w:val="32"/>
          <w:szCs w:val="32"/>
        </w:rPr>
        <w:t xml:space="preserve"> 2026</w:t>
      </w:r>
    </w:p>
    <w:p w14:paraId="4EC48383" w14:textId="77777777" w:rsidR="004C1FE3" w:rsidRPr="00050903" w:rsidRDefault="004C1FE3" w:rsidP="00050903">
      <w:pPr>
        <w:spacing w:after="0"/>
        <w:jc w:val="center"/>
        <w:rPr>
          <w:rFonts w:ascii="Century Schoolbook" w:hAnsi="Century Schoolbook"/>
          <w:b/>
          <w:bCs/>
          <w:sz w:val="28"/>
          <w:szCs w:val="28"/>
          <w:u w:val="single"/>
        </w:rPr>
      </w:pPr>
    </w:p>
    <w:p w14:paraId="63F61DBE" w14:textId="3D4C46CB" w:rsidR="004C1FE3" w:rsidRPr="00050903" w:rsidRDefault="004C1FE3" w:rsidP="00050903">
      <w:pPr>
        <w:spacing w:after="0"/>
        <w:jc w:val="center"/>
        <w:rPr>
          <w:rFonts w:ascii="Century Schoolbook" w:hAnsi="Century Schoolbook"/>
          <w:b/>
          <w:bCs/>
          <w:sz w:val="28"/>
          <w:szCs w:val="28"/>
          <w:u w:val="single"/>
        </w:rPr>
      </w:pPr>
      <w:r w:rsidRPr="00050903">
        <w:rPr>
          <w:rFonts w:ascii="Century Schoolbook" w:hAnsi="Century Schoolbook"/>
          <w:b/>
          <w:bCs/>
          <w:sz w:val="28"/>
          <w:szCs w:val="28"/>
          <w:u w:val="single"/>
        </w:rPr>
        <w:t>The Impact of Criminal Convictions on Firearms Rights</w:t>
      </w:r>
    </w:p>
    <w:p w14:paraId="73DFE41A" w14:textId="77777777" w:rsidR="004C1FE3" w:rsidRPr="00050903" w:rsidRDefault="004C1FE3" w:rsidP="00050903">
      <w:pPr>
        <w:spacing w:after="0"/>
        <w:jc w:val="center"/>
        <w:rPr>
          <w:rFonts w:ascii="Century Schoolbook" w:hAnsi="Century Schoolbook"/>
        </w:rPr>
      </w:pPr>
    </w:p>
    <w:p w14:paraId="6F3EB0BB" w14:textId="37539B12" w:rsidR="004C1FE3" w:rsidRPr="00050903" w:rsidRDefault="004C1FE3" w:rsidP="00050903">
      <w:pPr>
        <w:spacing w:after="0"/>
        <w:jc w:val="center"/>
        <w:rPr>
          <w:rFonts w:ascii="Century Schoolbook" w:hAnsi="Century Schoolbook"/>
        </w:rPr>
      </w:pPr>
      <w:r w:rsidRPr="00050903">
        <w:rPr>
          <w:rFonts w:ascii="Century Schoolbook" w:hAnsi="Century Schoolbook"/>
        </w:rPr>
        <w:t>Ronald J. Shook</w:t>
      </w:r>
      <w:r w:rsidR="00F83447">
        <w:rPr>
          <w:rFonts w:ascii="Century Schoolbook" w:hAnsi="Century Schoolbook"/>
        </w:rPr>
        <w:t>,</w:t>
      </w:r>
      <w:r w:rsidRPr="00050903">
        <w:rPr>
          <w:rFonts w:ascii="Century Schoolbook" w:hAnsi="Century Schoolbook"/>
        </w:rPr>
        <w:t xml:space="preserve"> II</w:t>
      </w:r>
    </w:p>
    <w:p w14:paraId="530ED65E" w14:textId="77777777" w:rsidR="004C1FE3" w:rsidRPr="00050903" w:rsidRDefault="004C1FE3" w:rsidP="00050903">
      <w:pPr>
        <w:spacing w:after="0"/>
        <w:jc w:val="center"/>
        <w:rPr>
          <w:rFonts w:ascii="Century Schoolbook" w:hAnsi="Century Schoolbook"/>
        </w:rPr>
      </w:pPr>
      <w:r w:rsidRPr="00050903">
        <w:rPr>
          <w:rFonts w:ascii="Century Schoolbook" w:hAnsi="Century Schoolbook"/>
        </w:rPr>
        <w:t>The Law Offices of Ronald J. Shook</w:t>
      </w:r>
    </w:p>
    <w:p w14:paraId="7B42A54B" w14:textId="77777777" w:rsidR="004C1FE3" w:rsidRPr="00050903" w:rsidRDefault="004C1FE3" w:rsidP="00050903">
      <w:pPr>
        <w:spacing w:after="0"/>
        <w:jc w:val="center"/>
        <w:rPr>
          <w:rFonts w:ascii="Century Schoolbook" w:hAnsi="Century Schoolbook"/>
        </w:rPr>
      </w:pPr>
      <w:hyperlink r:id="rId10" w:history="1">
        <w:r w:rsidRPr="00050903">
          <w:rPr>
            <w:rStyle w:val="Hyperlink"/>
            <w:rFonts w:ascii="Century Schoolbook" w:hAnsi="Century Schoolbook"/>
          </w:rPr>
          <w:t>ron@rjshooklaw.com</w:t>
        </w:r>
      </w:hyperlink>
    </w:p>
    <w:p w14:paraId="46CC2395" w14:textId="77777777" w:rsidR="004C1FE3" w:rsidRPr="00050903" w:rsidRDefault="004C1FE3" w:rsidP="00050903">
      <w:pPr>
        <w:spacing w:after="0"/>
        <w:jc w:val="center"/>
        <w:rPr>
          <w:rFonts w:ascii="Century Schoolbook" w:hAnsi="Century Schoolbook"/>
        </w:rPr>
      </w:pPr>
      <w:r w:rsidRPr="00050903">
        <w:rPr>
          <w:rFonts w:ascii="Century Schoolbook" w:hAnsi="Century Schoolbook"/>
        </w:rPr>
        <w:t>704.671.2390</w:t>
      </w:r>
    </w:p>
    <w:p w14:paraId="455F3138" w14:textId="77777777" w:rsidR="00CC566A" w:rsidRPr="00050903" w:rsidRDefault="00CC566A" w:rsidP="00050903">
      <w:pPr>
        <w:spacing w:after="0"/>
        <w:rPr>
          <w:rFonts w:ascii="Century Schoolbook" w:hAnsi="Century Schoolbook"/>
        </w:rPr>
      </w:pPr>
    </w:p>
    <w:p w14:paraId="4EA493E7" w14:textId="77777777" w:rsidR="00050903" w:rsidRPr="00050903" w:rsidRDefault="00050903" w:rsidP="00050903">
      <w:pPr>
        <w:spacing w:after="0"/>
        <w:rPr>
          <w:rFonts w:ascii="Century Schoolbook" w:hAnsi="Century Schoolbook"/>
        </w:rPr>
      </w:pPr>
    </w:p>
    <w:p w14:paraId="72C8160B" w14:textId="77777777" w:rsidR="00050903" w:rsidRPr="00050903" w:rsidRDefault="00050903" w:rsidP="00050903">
      <w:pPr>
        <w:spacing w:after="0"/>
        <w:rPr>
          <w:rFonts w:ascii="Century Schoolbook" w:hAnsi="Century Schoolbook"/>
        </w:rPr>
      </w:pPr>
    </w:p>
    <w:p w14:paraId="5CA452CF" w14:textId="77777777" w:rsidR="00050903" w:rsidRPr="00050903" w:rsidRDefault="00050903" w:rsidP="00050903">
      <w:pPr>
        <w:spacing w:after="0"/>
        <w:rPr>
          <w:rFonts w:ascii="Century Schoolbook" w:hAnsi="Century Schoolbook"/>
        </w:rPr>
      </w:pPr>
    </w:p>
    <w:p w14:paraId="3A251092" w14:textId="77777777" w:rsidR="00050903" w:rsidRPr="00050903" w:rsidRDefault="00050903" w:rsidP="00050903">
      <w:pPr>
        <w:spacing w:after="0"/>
        <w:rPr>
          <w:rFonts w:ascii="Century Schoolbook" w:hAnsi="Century Schoolbook"/>
        </w:rPr>
      </w:pPr>
    </w:p>
    <w:p w14:paraId="0F664D0A" w14:textId="77777777" w:rsidR="00050903" w:rsidRPr="00050903" w:rsidRDefault="00050903" w:rsidP="00050903">
      <w:pPr>
        <w:spacing w:after="0"/>
        <w:rPr>
          <w:rFonts w:ascii="Century Schoolbook" w:hAnsi="Century Schoolbook"/>
        </w:rPr>
      </w:pPr>
    </w:p>
    <w:p w14:paraId="1B7E4547" w14:textId="77777777" w:rsidR="00050903" w:rsidRPr="00050903" w:rsidRDefault="00050903" w:rsidP="00050903">
      <w:pPr>
        <w:spacing w:after="0"/>
        <w:rPr>
          <w:rFonts w:ascii="Century Schoolbook" w:hAnsi="Century Schoolbook"/>
        </w:rPr>
      </w:pPr>
    </w:p>
    <w:p w14:paraId="3670CFA2" w14:textId="77777777" w:rsidR="00050903" w:rsidRPr="00050903" w:rsidRDefault="00050903" w:rsidP="00050903">
      <w:pPr>
        <w:spacing w:after="0"/>
        <w:rPr>
          <w:rFonts w:ascii="Century Schoolbook" w:hAnsi="Century Schoolbook"/>
        </w:rPr>
      </w:pPr>
    </w:p>
    <w:p w14:paraId="6FD860DA" w14:textId="77777777" w:rsidR="00050903" w:rsidRPr="00050903" w:rsidRDefault="00050903" w:rsidP="00050903">
      <w:pPr>
        <w:spacing w:after="0"/>
        <w:rPr>
          <w:rFonts w:ascii="Century Schoolbook" w:hAnsi="Century Schoolbook"/>
        </w:rPr>
      </w:pPr>
    </w:p>
    <w:p w14:paraId="729C1101" w14:textId="77777777" w:rsidR="00050903" w:rsidRPr="00050903" w:rsidRDefault="00050903" w:rsidP="00050903">
      <w:pPr>
        <w:spacing w:after="0"/>
        <w:rPr>
          <w:rFonts w:ascii="Century Schoolbook" w:hAnsi="Century Schoolbook"/>
        </w:rPr>
      </w:pPr>
    </w:p>
    <w:p w14:paraId="45DD5C6C" w14:textId="77777777" w:rsidR="00050903" w:rsidRPr="00050903" w:rsidRDefault="00050903" w:rsidP="00050903">
      <w:pPr>
        <w:spacing w:after="0"/>
        <w:rPr>
          <w:rFonts w:ascii="Century Schoolbook" w:hAnsi="Century Schoolbook"/>
        </w:rPr>
      </w:pPr>
    </w:p>
    <w:p w14:paraId="2E4F5B39" w14:textId="77777777" w:rsidR="00050903" w:rsidRPr="00050903" w:rsidRDefault="00050903" w:rsidP="00050903">
      <w:pPr>
        <w:spacing w:after="0"/>
        <w:rPr>
          <w:rFonts w:ascii="Century Schoolbook" w:hAnsi="Century Schoolbook"/>
        </w:rPr>
      </w:pPr>
    </w:p>
    <w:p w14:paraId="7628746F" w14:textId="77777777" w:rsidR="00050903" w:rsidRPr="00050903" w:rsidRDefault="00050903" w:rsidP="00050903">
      <w:pPr>
        <w:spacing w:after="0"/>
        <w:rPr>
          <w:rFonts w:ascii="Century Schoolbook" w:hAnsi="Century Schoolbook"/>
        </w:rPr>
      </w:pPr>
    </w:p>
    <w:p w14:paraId="08D9AC12" w14:textId="77777777" w:rsidR="00050903" w:rsidRPr="00050903" w:rsidRDefault="00050903" w:rsidP="00050903">
      <w:pPr>
        <w:spacing w:after="0"/>
        <w:rPr>
          <w:rFonts w:ascii="Century Schoolbook" w:hAnsi="Century Schoolbook"/>
        </w:rPr>
      </w:pPr>
    </w:p>
    <w:p w14:paraId="3199BD0D" w14:textId="77777777" w:rsidR="00050903" w:rsidRPr="00050903" w:rsidRDefault="00050903" w:rsidP="00050903">
      <w:pPr>
        <w:spacing w:after="0"/>
        <w:rPr>
          <w:rFonts w:ascii="Century Schoolbook" w:hAnsi="Century Schoolbook"/>
        </w:rPr>
      </w:pPr>
    </w:p>
    <w:p w14:paraId="163CD02B" w14:textId="77777777" w:rsidR="00050903" w:rsidRPr="00050903" w:rsidRDefault="00050903" w:rsidP="00050903">
      <w:pPr>
        <w:spacing w:after="0"/>
        <w:rPr>
          <w:rFonts w:ascii="Century Schoolbook" w:hAnsi="Century Schoolbook"/>
        </w:rPr>
      </w:pPr>
    </w:p>
    <w:p w14:paraId="575EA8E3" w14:textId="77777777" w:rsidR="00050903" w:rsidRPr="00050903" w:rsidRDefault="00050903" w:rsidP="00050903">
      <w:pPr>
        <w:spacing w:after="0"/>
        <w:rPr>
          <w:rFonts w:ascii="Century Schoolbook" w:hAnsi="Century Schoolbook"/>
        </w:rPr>
      </w:pPr>
    </w:p>
    <w:p w14:paraId="44207B6C" w14:textId="77777777" w:rsidR="00050903" w:rsidRPr="00050903" w:rsidRDefault="00050903" w:rsidP="00050903">
      <w:pPr>
        <w:spacing w:after="0"/>
        <w:rPr>
          <w:rFonts w:ascii="Century Schoolbook" w:hAnsi="Century Schoolbook"/>
        </w:rPr>
      </w:pPr>
    </w:p>
    <w:p w14:paraId="03B14684" w14:textId="77777777" w:rsidR="00050903" w:rsidRPr="00050903" w:rsidRDefault="00050903" w:rsidP="00050903">
      <w:pPr>
        <w:spacing w:after="0"/>
        <w:rPr>
          <w:rFonts w:ascii="Century Schoolbook" w:hAnsi="Century Schoolbook"/>
        </w:rPr>
      </w:pPr>
    </w:p>
    <w:p w14:paraId="472FA7F9" w14:textId="77777777" w:rsidR="00050903" w:rsidRDefault="00050903" w:rsidP="00050903">
      <w:pPr>
        <w:spacing w:after="0"/>
        <w:rPr>
          <w:rFonts w:ascii="Century Schoolbook" w:hAnsi="Century Schoolbook"/>
        </w:rPr>
      </w:pPr>
    </w:p>
    <w:p w14:paraId="38DBC127" w14:textId="77777777" w:rsidR="00050903" w:rsidRDefault="00050903" w:rsidP="00050903">
      <w:pPr>
        <w:spacing w:after="0"/>
        <w:rPr>
          <w:rFonts w:ascii="Century Schoolbook" w:hAnsi="Century Schoolbook"/>
        </w:rPr>
      </w:pPr>
    </w:p>
    <w:p w14:paraId="15AD8F89" w14:textId="77777777" w:rsidR="00050903" w:rsidRDefault="00050903" w:rsidP="00050903">
      <w:pPr>
        <w:spacing w:after="0"/>
        <w:rPr>
          <w:rFonts w:ascii="Century Schoolbook" w:hAnsi="Century Schoolbook"/>
        </w:rPr>
      </w:pPr>
    </w:p>
    <w:p w14:paraId="3DDCD765" w14:textId="77777777" w:rsidR="00050903" w:rsidRDefault="00050903" w:rsidP="00050903">
      <w:pPr>
        <w:spacing w:after="0"/>
        <w:rPr>
          <w:rFonts w:ascii="Century Schoolbook" w:hAnsi="Century Schoolbook"/>
        </w:rPr>
      </w:pPr>
    </w:p>
    <w:p w14:paraId="21F32CA8" w14:textId="77777777" w:rsidR="00050903" w:rsidRDefault="00050903" w:rsidP="00050903">
      <w:pPr>
        <w:spacing w:after="0"/>
        <w:rPr>
          <w:rFonts w:ascii="Century Schoolbook" w:hAnsi="Century Schoolbook"/>
        </w:rPr>
      </w:pPr>
    </w:p>
    <w:p w14:paraId="1F2F637D" w14:textId="77777777" w:rsidR="00050903" w:rsidRDefault="00050903" w:rsidP="00050903">
      <w:pPr>
        <w:spacing w:after="0"/>
        <w:rPr>
          <w:rFonts w:ascii="Century Schoolbook" w:hAnsi="Century Schoolbook"/>
        </w:rPr>
      </w:pPr>
    </w:p>
    <w:p w14:paraId="78CE7DE1" w14:textId="77777777" w:rsidR="00050903" w:rsidRDefault="00050903" w:rsidP="00050903">
      <w:pPr>
        <w:spacing w:after="0"/>
        <w:rPr>
          <w:rFonts w:ascii="Century Schoolbook" w:hAnsi="Century Schoolbook"/>
        </w:rPr>
      </w:pPr>
    </w:p>
    <w:p w14:paraId="782461A9" w14:textId="77777777" w:rsidR="00050903" w:rsidRDefault="00050903" w:rsidP="00050903">
      <w:pPr>
        <w:spacing w:after="0"/>
        <w:rPr>
          <w:rFonts w:ascii="Century Schoolbook" w:hAnsi="Century Schoolbook"/>
        </w:rPr>
      </w:pPr>
    </w:p>
    <w:p w14:paraId="708B2148" w14:textId="77777777" w:rsidR="00050903" w:rsidRDefault="00050903" w:rsidP="00050903">
      <w:pPr>
        <w:spacing w:after="0"/>
        <w:rPr>
          <w:rFonts w:ascii="Century Schoolbook" w:hAnsi="Century Schoolbook"/>
        </w:rPr>
      </w:pPr>
    </w:p>
    <w:p w14:paraId="716221BF" w14:textId="5BFD1FA3" w:rsidR="0069019D" w:rsidRDefault="0069019D" w:rsidP="00597E77">
      <w:pPr>
        <w:spacing w:after="0" w:line="480" w:lineRule="auto"/>
        <w:jc w:val="center"/>
        <w:rPr>
          <w:rFonts w:ascii="Century Schoolbook" w:hAnsi="Century Schoolbook"/>
          <w:b/>
          <w:bCs/>
          <w:u w:val="single"/>
        </w:rPr>
      </w:pPr>
      <w:r>
        <w:rPr>
          <w:rFonts w:ascii="Century Schoolbook" w:hAnsi="Century Schoolbook"/>
          <w:b/>
          <w:bCs/>
          <w:u w:val="single"/>
        </w:rPr>
        <w:lastRenderedPageBreak/>
        <w:t>What Are “Firearms Rights”?</w:t>
      </w:r>
    </w:p>
    <w:p w14:paraId="7AC7C84F" w14:textId="77777777" w:rsidR="000857AD" w:rsidRDefault="0069019D" w:rsidP="000857AD">
      <w:pPr>
        <w:spacing w:after="0" w:line="480" w:lineRule="auto"/>
        <w:rPr>
          <w:rFonts w:ascii="Century Schoolbook" w:hAnsi="Century Schoolbook"/>
        </w:rPr>
      </w:pPr>
      <w:r>
        <w:rPr>
          <w:rFonts w:ascii="Century Schoolbook" w:hAnsi="Century Schoolbook"/>
        </w:rPr>
        <w:tab/>
      </w:r>
      <w:r w:rsidRPr="0069019D">
        <w:rPr>
          <w:rFonts w:ascii="Century Schoolbook" w:hAnsi="Century Schoolbook"/>
        </w:rPr>
        <w:t xml:space="preserve">“A </w:t>
      </w:r>
      <w:proofErr w:type="spellStart"/>
      <w:r w:rsidRPr="0069019D">
        <w:rPr>
          <w:rFonts w:ascii="Century Schoolbook" w:hAnsi="Century Schoolbook"/>
        </w:rPr>
        <w:t>well regulated</w:t>
      </w:r>
      <w:proofErr w:type="spellEnd"/>
      <w:r w:rsidRPr="0069019D">
        <w:rPr>
          <w:rFonts w:ascii="Century Schoolbook" w:hAnsi="Century Schoolbook"/>
        </w:rPr>
        <w:t xml:space="preserve"> Militia, being necessary to the security of a free State, the right of the people to keep and bear Arms, shall not be infringed.”</w:t>
      </w:r>
      <w:r>
        <w:rPr>
          <w:rFonts w:ascii="Century Schoolbook" w:hAnsi="Century Schoolbook"/>
        </w:rPr>
        <w:t xml:space="preserve"> U.S. Const. Amendment II. </w:t>
      </w:r>
      <w:r w:rsidR="000F41FC">
        <w:rPr>
          <w:rFonts w:ascii="Century Schoolbook" w:hAnsi="Century Schoolbook"/>
        </w:rPr>
        <w:t>When it was first adopted, the Second Amendment was understood to be an individual right which allowed the people to maintain balance with the government by defending against tyranny and government overreach. During the twentieth century, the appellate courts</w:t>
      </w:r>
      <w:r w:rsidR="00F83447">
        <w:rPr>
          <w:rFonts w:ascii="Century Schoolbook" w:hAnsi="Century Schoolbook"/>
        </w:rPr>
        <w:t>’</w:t>
      </w:r>
      <w:r w:rsidR="000F41FC">
        <w:rPr>
          <w:rFonts w:ascii="Century Schoolbook" w:hAnsi="Century Schoolbook"/>
        </w:rPr>
        <w:t xml:space="preserve"> interpretation of the Second Amendment was</w:t>
      </w:r>
      <w:r w:rsidR="00F83447">
        <w:rPr>
          <w:rFonts w:ascii="Century Schoolbook" w:hAnsi="Century Schoolbook"/>
        </w:rPr>
        <w:t xml:space="preserve"> that it was</w:t>
      </w:r>
      <w:r w:rsidR="000F41FC">
        <w:rPr>
          <w:rFonts w:ascii="Century Schoolbook" w:hAnsi="Century Schoolbook"/>
        </w:rPr>
        <w:t xml:space="preserve"> a collective right of the states to maintain a militia, and that it was not an individual right. The Fourteenth Amendment was passed in order to limit the states from depriving the people of the guarantees given under the federal Bill of Rights. </w:t>
      </w:r>
    </w:p>
    <w:p w14:paraId="282A5752" w14:textId="1CF4EA28" w:rsidR="007A6B86" w:rsidRPr="007A6B86" w:rsidRDefault="007A6B86" w:rsidP="000857AD">
      <w:pPr>
        <w:spacing w:after="0" w:line="480" w:lineRule="auto"/>
        <w:jc w:val="center"/>
        <w:rPr>
          <w:rFonts w:ascii="Century Schoolbook" w:hAnsi="Century Schoolbook"/>
          <w:b/>
          <w:bCs/>
          <w:u w:val="single"/>
        </w:rPr>
      </w:pPr>
      <w:r>
        <w:rPr>
          <w:rFonts w:ascii="Century Schoolbook" w:hAnsi="Century Schoolbook"/>
          <w:b/>
          <w:bCs/>
          <w:i/>
          <w:iCs/>
          <w:u w:val="single"/>
        </w:rPr>
        <w:t xml:space="preserve">D.C. v. </w:t>
      </w:r>
      <w:r w:rsidRPr="000A3DDB">
        <w:rPr>
          <w:rFonts w:ascii="Century Schoolbook" w:hAnsi="Century Schoolbook"/>
          <w:b/>
          <w:bCs/>
          <w:u w:val="single"/>
        </w:rPr>
        <w:t>Heller</w:t>
      </w:r>
      <w:r w:rsidR="000A3DDB">
        <w:rPr>
          <w:rFonts w:ascii="Century Schoolbook" w:hAnsi="Century Schoolbook"/>
          <w:b/>
          <w:bCs/>
          <w:u w:val="single"/>
        </w:rPr>
        <w:t xml:space="preserve">, </w:t>
      </w:r>
      <w:r w:rsidR="000A3DDB" w:rsidRPr="00E17202">
        <w:rPr>
          <w:rFonts w:ascii="Century Schoolbook" w:hAnsi="Century Schoolbook"/>
          <w:b/>
          <w:bCs/>
          <w:u w:val="single"/>
        </w:rPr>
        <w:t>554 U.S. 570 at 589 (2008</w:t>
      </w:r>
      <w:r w:rsidR="00E17202">
        <w:rPr>
          <w:rFonts w:ascii="Century Schoolbook" w:hAnsi="Century Schoolbook"/>
          <w:b/>
          <w:bCs/>
          <w:u w:val="single"/>
        </w:rPr>
        <w:t>)</w:t>
      </w:r>
    </w:p>
    <w:p w14:paraId="39F09816" w14:textId="5FB1FE06" w:rsidR="00815B20" w:rsidRPr="00815B20" w:rsidRDefault="00367228" w:rsidP="00815B20">
      <w:pPr>
        <w:spacing w:after="0" w:line="480" w:lineRule="auto"/>
        <w:rPr>
          <w:rFonts w:ascii="Century Schoolbook" w:hAnsi="Century Schoolbook"/>
        </w:rPr>
      </w:pPr>
      <w:r>
        <w:rPr>
          <w:rFonts w:ascii="Century Schoolbook" w:hAnsi="Century Schoolbook"/>
        </w:rPr>
        <w:tab/>
      </w:r>
      <w:r w:rsidR="001F3EC2">
        <w:rPr>
          <w:rFonts w:ascii="Century Schoolbook" w:hAnsi="Century Schoolbook"/>
        </w:rPr>
        <w:t>I</w:t>
      </w:r>
      <w:r>
        <w:rPr>
          <w:rFonts w:ascii="Century Schoolbook" w:hAnsi="Century Schoolbook"/>
        </w:rPr>
        <w:t>n</w:t>
      </w:r>
      <w:r w:rsidR="0091338A">
        <w:rPr>
          <w:rFonts w:ascii="Century Schoolbook" w:hAnsi="Century Schoolbook"/>
        </w:rPr>
        <w:t xml:space="preserve"> 2008, the </w:t>
      </w:r>
      <w:r w:rsidR="00CE194C">
        <w:rPr>
          <w:rFonts w:ascii="Century Schoolbook" w:hAnsi="Century Schoolbook"/>
        </w:rPr>
        <w:t>United States Supreme Court held in</w:t>
      </w:r>
      <w:r>
        <w:rPr>
          <w:rFonts w:ascii="Century Schoolbook" w:hAnsi="Century Schoolbook"/>
        </w:rPr>
        <w:t xml:space="preserve"> </w:t>
      </w:r>
      <w:r>
        <w:rPr>
          <w:rFonts w:ascii="Century Schoolbook" w:hAnsi="Century Schoolbook"/>
          <w:i/>
          <w:iCs/>
        </w:rPr>
        <w:t>D.C. v. Heller</w:t>
      </w:r>
      <w:r w:rsidR="00CE194C">
        <w:rPr>
          <w:rFonts w:ascii="Century Schoolbook" w:hAnsi="Century Schoolbook"/>
        </w:rPr>
        <w:t xml:space="preserve"> </w:t>
      </w:r>
      <w:r>
        <w:rPr>
          <w:rFonts w:ascii="Century Schoolbook" w:hAnsi="Century Schoolbook"/>
        </w:rPr>
        <w:t xml:space="preserve">that the Second Amendment guarantees an </w:t>
      </w:r>
      <w:r w:rsidRPr="00927484">
        <w:rPr>
          <w:rFonts w:ascii="Century Schoolbook" w:hAnsi="Century Schoolbook"/>
          <w:i/>
          <w:iCs/>
        </w:rPr>
        <w:t>individual</w:t>
      </w:r>
      <w:r>
        <w:rPr>
          <w:rFonts w:ascii="Century Schoolbook" w:hAnsi="Century Schoolbook"/>
        </w:rPr>
        <w:t xml:space="preserve"> </w:t>
      </w:r>
      <w:r w:rsidRPr="00927484">
        <w:rPr>
          <w:rFonts w:ascii="Century Schoolbook" w:hAnsi="Century Schoolbook"/>
          <w:i/>
          <w:iCs/>
        </w:rPr>
        <w:t xml:space="preserve">right </w:t>
      </w:r>
      <w:r>
        <w:rPr>
          <w:rFonts w:ascii="Century Schoolbook" w:hAnsi="Century Schoolbook"/>
        </w:rPr>
        <w:t>to keep and bear arms.</w:t>
      </w:r>
      <w:r w:rsidR="007A6B86">
        <w:rPr>
          <w:rFonts w:ascii="Century Schoolbook" w:hAnsi="Century Schoolbook"/>
        </w:rPr>
        <w:t xml:space="preserve"> </w:t>
      </w:r>
      <w:r w:rsidR="007A6B86">
        <w:rPr>
          <w:rFonts w:ascii="Century Schoolbook" w:hAnsi="Century Schoolbook"/>
          <w:i/>
          <w:iCs/>
        </w:rPr>
        <w:t>D.C. v. Heller</w:t>
      </w:r>
      <w:r w:rsidR="007A6B86">
        <w:rPr>
          <w:rFonts w:ascii="Century Schoolbook" w:hAnsi="Century Schoolbook"/>
        </w:rPr>
        <w:t>, 554 U.S. 570 at 589 (2008).</w:t>
      </w:r>
      <w:r w:rsidR="00927484">
        <w:rPr>
          <w:rFonts w:ascii="Century Schoolbook" w:hAnsi="Century Schoolbook"/>
        </w:rPr>
        <w:t xml:space="preserve"> </w:t>
      </w:r>
      <w:r w:rsidR="00815B20">
        <w:rPr>
          <w:rFonts w:ascii="Century Schoolbook" w:hAnsi="Century Schoolbook"/>
        </w:rPr>
        <w:t>T</w:t>
      </w:r>
      <w:r w:rsidR="00815B20" w:rsidRPr="00815B20">
        <w:rPr>
          <w:rFonts w:ascii="Century Schoolbook" w:hAnsi="Century Schoolbook"/>
        </w:rPr>
        <w:t xml:space="preserve">he Court also </w:t>
      </w:r>
      <w:r w:rsidR="00927484">
        <w:rPr>
          <w:rFonts w:ascii="Century Schoolbook" w:hAnsi="Century Schoolbook"/>
        </w:rPr>
        <w:t>defined</w:t>
      </w:r>
      <w:r w:rsidR="00815B20" w:rsidRPr="00815B20">
        <w:rPr>
          <w:rFonts w:ascii="Century Schoolbook" w:hAnsi="Century Schoolbook"/>
        </w:rPr>
        <w:t xml:space="preserve"> the scope of the persons, arms, and activities covered by the Second Amendment.</w:t>
      </w:r>
    </w:p>
    <w:p w14:paraId="5E075F7A" w14:textId="62615F5F" w:rsidR="00815B20" w:rsidRPr="00815B20" w:rsidRDefault="00815B20" w:rsidP="00815B20">
      <w:pPr>
        <w:spacing w:after="0" w:line="480" w:lineRule="auto"/>
        <w:ind w:firstLine="720"/>
        <w:rPr>
          <w:rFonts w:ascii="Century Schoolbook" w:hAnsi="Century Schoolbook"/>
        </w:rPr>
      </w:pPr>
      <w:r w:rsidRPr="00815B20">
        <w:rPr>
          <w:rFonts w:ascii="Century Schoolbook" w:hAnsi="Century Schoolbook"/>
        </w:rPr>
        <w:t xml:space="preserve">First, </w:t>
      </w:r>
      <w:r w:rsidRPr="00815B20">
        <w:rPr>
          <w:rFonts w:ascii="Century Schoolbook" w:hAnsi="Century Schoolbook"/>
          <w:i/>
          <w:iCs/>
        </w:rPr>
        <w:t>Heller</w:t>
      </w:r>
      <w:r w:rsidRPr="00815B20">
        <w:rPr>
          <w:rFonts w:ascii="Century Schoolbook" w:hAnsi="Century Schoolbook"/>
        </w:rPr>
        <w:t xml:space="preserve"> explained that “in all six other provisions of the Constitution that mention ‘the people,’ the term unambiguously refers to all members of the political community, not an unspecified subset</w:t>
      </w:r>
      <w:r w:rsidR="001F3EC2">
        <w:rPr>
          <w:rFonts w:ascii="Century Schoolbook" w:hAnsi="Century Schoolbook"/>
        </w:rPr>
        <w:t>,</w:t>
      </w:r>
      <w:r w:rsidRPr="00815B20">
        <w:rPr>
          <w:rFonts w:ascii="Century Schoolbook" w:hAnsi="Century Schoolbook"/>
        </w:rPr>
        <w:t>”</w:t>
      </w:r>
      <w:r w:rsidR="001F3EC2">
        <w:rPr>
          <w:rFonts w:ascii="Century Schoolbook" w:hAnsi="Century Schoolbook"/>
        </w:rPr>
        <w:t xml:space="preserve"> and, cited </w:t>
      </w:r>
      <w:r w:rsidRPr="00815B20">
        <w:rPr>
          <w:rFonts w:ascii="Century Schoolbook" w:hAnsi="Century Schoolbook"/>
          <w:i/>
          <w:iCs/>
        </w:rPr>
        <w:t>United States v. Verdugo-Urquidez</w:t>
      </w:r>
      <w:r w:rsidRPr="00815B20">
        <w:rPr>
          <w:rFonts w:ascii="Century Schoolbook" w:hAnsi="Century Schoolbook"/>
        </w:rPr>
        <w:t xml:space="preserve">, 494 U.S. 259, 265 (1990), which held that “‘[T]he people’ … refers to a class of persons who are part of a national community or who have </w:t>
      </w:r>
      <w:r w:rsidRPr="00815B20">
        <w:rPr>
          <w:rFonts w:ascii="Century Schoolbook" w:hAnsi="Century Schoolbook"/>
        </w:rPr>
        <w:lastRenderedPageBreak/>
        <w:t xml:space="preserve">otherwise developed sufficient connection with this country to be considered part of that community.” </w:t>
      </w:r>
      <w:r w:rsidR="00582D2F" w:rsidRPr="00582D2F">
        <w:rPr>
          <w:rFonts w:ascii="Century Schoolbook" w:hAnsi="Century Schoolbook"/>
          <w:i/>
          <w:iCs/>
        </w:rPr>
        <w:t>Heller at 580</w:t>
      </w:r>
      <w:r w:rsidRPr="00815B20">
        <w:rPr>
          <w:rFonts w:ascii="Century Schoolbook" w:hAnsi="Century Schoolbook"/>
        </w:rPr>
        <w:t>.</w:t>
      </w:r>
    </w:p>
    <w:p w14:paraId="5BE6C334" w14:textId="60024C55" w:rsidR="00815B20" w:rsidRPr="00815B20" w:rsidRDefault="00815B20" w:rsidP="00815B20">
      <w:pPr>
        <w:spacing w:after="0" w:line="480" w:lineRule="auto"/>
        <w:ind w:firstLine="720"/>
        <w:rPr>
          <w:rFonts w:ascii="Century Schoolbook" w:hAnsi="Century Schoolbook"/>
        </w:rPr>
      </w:pPr>
      <w:r w:rsidRPr="00815B20">
        <w:rPr>
          <w:rFonts w:ascii="Century Schoolbook" w:hAnsi="Century Schoolbook"/>
        </w:rPr>
        <w:t xml:space="preserve">Second, </w:t>
      </w:r>
      <w:r w:rsidRPr="00815B20">
        <w:rPr>
          <w:rFonts w:ascii="Century Schoolbook" w:hAnsi="Century Schoolbook"/>
          <w:i/>
          <w:iCs/>
        </w:rPr>
        <w:t>Heller</w:t>
      </w:r>
      <w:r w:rsidRPr="00815B20">
        <w:rPr>
          <w:rFonts w:ascii="Century Schoolbook" w:hAnsi="Century Schoolbook"/>
        </w:rPr>
        <w:t xml:space="preserve"> turned to the “substance of the right: ‘to keep and bear Arms.’” </w:t>
      </w:r>
      <w:r w:rsidRPr="00815B20">
        <w:rPr>
          <w:rFonts w:ascii="Century Schoolbook" w:hAnsi="Century Schoolbook"/>
          <w:i/>
          <w:iCs/>
        </w:rPr>
        <w:t>Id</w:t>
      </w:r>
      <w:r w:rsidRPr="00582D2F">
        <w:rPr>
          <w:rFonts w:ascii="Century Schoolbook" w:hAnsi="Century Schoolbook"/>
          <w:i/>
          <w:iCs/>
        </w:rPr>
        <w:t>.</w:t>
      </w:r>
      <w:r w:rsidRPr="00815B20">
        <w:rPr>
          <w:rFonts w:ascii="Century Schoolbook" w:hAnsi="Century Schoolbook"/>
        </w:rPr>
        <w:t xml:space="preserve"> at 581. The Court explained that</w:t>
      </w:r>
      <w:r w:rsidR="00582D2F">
        <w:rPr>
          <w:rFonts w:ascii="Century Schoolbook" w:hAnsi="Century Schoolbook"/>
        </w:rPr>
        <w:t xml:space="preserve"> to</w:t>
      </w:r>
      <w:r w:rsidRPr="00815B20">
        <w:rPr>
          <w:rFonts w:ascii="Century Schoolbook" w:hAnsi="Century Schoolbook"/>
        </w:rPr>
        <w:t xml:space="preserve"> “‘[k]</w:t>
      </w:r>
      <w:proofErr w:type="spellStart"/>
      <w:r w:rsidRPr="00815B20">
        <w:rPr>
          <w:rFonts w:ascii="Century Schoolbook" w:hAnsi="Century Schoolbook"/>
        </w:rPr>
        <w:t>eep</w:t>
      </w:r>
      <w:proofErr w:type="spellEnd"/>
      <w:r w:rsidRPr="00815B20">
        <w:rPr>
          <w:rFonts w:ascii="Century Schoolbook" w:hAnsi="Century Schoolbook"/>
        </w:rPr>
        <w:t xml:space="preserve"> arms’ was simply a common way of referring to possessing arms, for militiamen and everyone else.” </w:t>
      </w:r>
      <w:r w:rsidRPr="00815B20">
        <w:rPr>
          <w:rFonts w:ascii="Century Schoolbook" w:hAnsi="Century Schoolbook"/>
          <w:i/>
          <w:iCs/>
        </w:rPr>
        <w:t>Id</w:t>
      </w:r>
      <w:r w:rsidRPr="00582D2F">
        <w:rPr>
          <w:rFonts w:ascii="Century Schoolbook" w:hAnsi="Century Schoolbook"/>
          <w:i/>
          <w:iCs/>
        </w:rPr>
        <w:t>.</w:t>
      </w:r>
      <w:r w:rsidRPr="00815B20">
        <w:rPr>
          <w:rFonts w:ascii="Century Schoolbook" w:hAnsi="Century Schoolbook"/>
        </w:rPr>
        <w:t xml:space="preserve"> at 583. Next, the Court </w:t>
      </w:r>
      <w:r w:rsidR="00582D2F">
        <w:rPr>
          <w:rFonts w:ascii="Century Schoolbook" w:hAnsi="Century Schoolbook"/>
        </w:rPr>
        <w:t>noted</w:t>
      </w:r>
      <w:r w:rsidRPr="00815B20">
        <w:rPr>
          <w:rFonts w:ascii="Century Schoolbook" w:hAnsi="Century Schoolbook"/>
        </w:rPr>
        <w:t xml:space="preserve"> that the “natural meaning” of “bear arms” was “wear, bear, or carry ... upon the person or in the clothing or in a pocket, for the purpose ... of being armed and ready for offensive or defensive action in a case of conflict with another person.” </w:t>
      </w:r>
      <w:r w:rsidRPr="00815B20">
        <w:rPr>
          <w:rFonts w:ascii="Century Schoolbook" w:hAnsi="Century Schoolbook"/>
          <w:i/>
          <w:iCs/>
        </w:rPr>
        <w:t>Id</w:t>
      </w:r>
      <w:r w:rsidRPr="00815B20">
        <w:rPr>
          <w:rFonts w:ascii="Century Schoolbook" w:hAnsi="Century Schoolbook"/>
        </w:rPr>
        <w:t>. at 584. And</w:t>
      </w:r>
      <w:r w:rsidR="00582D2F">
        <w:rPr>
          <w:rFonts w:ascii="Century Schoolbook" w:hAnsi="Century Schoolbook"/>
        </w:rPr>
        <w:t xml:space="preserve"> that</w:t>
      </w:r>
      <w:r w:rsidRPr="00815B20">
        <w:rPr>
          <w:rFonts w:ascii="Century Schoolbook" w:hAnsi="Century Schoolbook"/>
        </w:rPr>
        <w:t xml:space="preserve"> “[a]t the time of the founding, as now, to ‘bear’ meant to ‘carry.’” </w:t>
      </w:r>
      <w:r w:rsidRPr="00815B20">
        <w:rPr>
          <w:rFonts w:ascii="Century Schoolbook" w:hAnsi="Century Schoolbook"/>
          <w:i/>
          <w:iCs/>
        </w:rPr>
        <w:t>Id</w:t>
      </w:r>
      <w:r w:rsidRPr="00815B20">
        <w:rPr>
          <w:rFonts w:ascii="Century Schoolbook" w:hAnsi="Century Schoolbook"/>
        </w:rPr>
        <w:t xml:space="preserve">. </w:t>
      </w:r>
    </w:p>
    <w:p w14:paraId="748764FE" w14:textId="0C503897" w:rsidR="00815B20" w:rsidRDefault="00815B20" w:rsidP="00815B20">
      <w:pPr>
        <w:spacing w:after="0" w:line="480" w:lineRule="auto"/>
        <w:ind w:firstLine="720"/>
        <w:rPr>
          <w:rFonts w:ascii="Century Schoolbook" w:hAnsi="Century Schoolbook"/>
        </w:rPr>
      </w:pPr>
      <w:r w:rsidRPr="00815B20">
        <w:rPr>
          <w:rFonts w:ascii="Century Schoolbook" w:hAnsi="Century Schoolbook"/>
        </w:rPr>
        <w:t xml:space="preserve">Third, with respect to the term “arms,” the Court explained that “the Second Amendment extends, prima facie, to all instruments that constitute bearable arms, even those that were not in existence at the time of the founding.” </w:t>
      </w:r>
      <w:r w:rsidRPr="00815B20">
        <w:rPr>
          <w:rFonts w:ascii="Century Schoolbook" w:hAnsi="Century Schoolbook"/>
          <w:i/>
          <w:iCs/>
        </w:rPr>
        <w:t>Heller</w:t>
      </w:r>
      <w:r w:rsidRPr="00815B20">
        <w:rPr>
          <w:rFonts w:ascii="Century Schoolbook" w:hAnsi="Century Schoolbook"/>
        </w:rPr>
        <w:t xml:space="preserve"> at 582. Indeed, the “arms” protected by the Second Amendment include “weapons of offence, or </w:t>
      </w:r>
      <w:proofErr w:type="spellStart"/>
      <w:r w:rsidRPr="00815B20">
        <w:rPr>
          <w:rFonts w:ascii="Century Schoolbook" w:hAnsi="Century Schoolbook"/>
        </w:rPr>
        <w:t>armour</w:t>
      </w:r>
      <w:proofErr w:type="spellEnd"/>
      <w:r w:rsidRPr="00815B20">
        <w:rPr>
          <w:rFonts w:ascii="Century Schoolbook" w:hAnsi="Century Schoolbook"/>
        </w:rPr>
        <w:t xml:space="preserve"> of </w:t>
      </w:r>
      <w:proofErr w:type="spellStart"/>
      <w:r w:rsidRPr="00815B20">
        <w:rPr>
          <w:rFonts w:ascii="Century Schoolbook" w:hAnsi="Century Schoolbook"/>
        </w:rPr>
        <w:t>defence</w:t>
      </w:r>
      <w:proofErr w:type="spellEnd"/>
      <w:r w:rsidRPr="00815B20">
        <w:rPr>
          <w:rFonts w:ascii="Century Schoolbook" w:hAnsi="Century Schoolbook"/>
        </w:rPr>
        <w:t xml:space="preserve">… Arms are anything that a man wears for his </w:t>
      </w:r>
      <w:proofErr w:type="spellStart"/>
      <w:r w:rsidRPr="00815B20">
        <w:rPr>
          <w:rFonts w:ascii="Century Schoolbook" w:hAnsi="Century Schoolbook"/>
        </w:rPr>
        <w:t>defence</w:t>
      </w:r>
      <w:proofErr w:type="spellEnd"/>
      <w:r w:rsidRPr="00815B20">
        <w:rPr>
          <w:rFonts w:ascii="Century Schoolbook" w:hAnsi="Century Schoolbook"/>
        </w:rPr>
        <w:t xml:space="preserve">, or takes into his hands, or </w:t>
      </w:r>
      <w:proofErr w:type="spellStart"/>
      <w:r w:rsidRPr="00815B20">
        <w:rPr>
          <w:rFonts w:ascii="Century Schoolbook" w:hAnsi="Century Schoolbook"/>
        </w:rPr>
        <w:t>useth</w:t>
      </w:r>
      <w:proofErr w:type="spellEnd"/>
      <w:r w:rsidRPr="00815B20">
        <w:rPr>
          <w:rFonts w:ascii="Century Schoolbook" w:hAnsi="Century Schoolbook"/>
        </w:rPr>
        <w:t xml:space="preserve"> in wrath to cast at or strike another.” </w:t>
      </w:r>
      <w:r w:rsidRPr="008943A3">
        <w:rPr>
          <w:rFonts w:ascii="Century Schoolbook" w:hAnsi="Century Schoolbook"/>
          <w:i/>
          <w:iCs/>
        </w:rPr>
        <w:t>Heller</w:t>
      </w:r>
      <w:r w:rsidRPr="00815B20">
        <w:rPr>
          <w:rFonts w:ascii="Century Schoolbook" w:hAnsi="Century Schoolbook"/>
        </w:rPr>
        <w:t xml:space="preserve"> at 581.</w:t>
      </w:r>
    </w:p>
    <w:p w14:paraId="29DA69F1" w14:textId="701CA223" w:rsidR="007A6B86" w:rsidRDefault="007A6B86" w:rsidP="0069019D">
      <w:pPr>
        <w:spacing w:after="0" w:line="480" w:lineRule="auto"/>
        <w:rPr>
          <w:rFonts w:ascii="Century Schoolbook" w:hAnsi="Century Schoolbook"/>
        </w:rPr>
      </w:pPr>
      <w:r>
        <w:rPr>
          <w:rFonts w:ascii="Century Schoolbook" w:hAnsi="Century Schoolbook"/>
        </w:rPr>
        <w:tab/>
        <w:t xml:space="preserve">Some highlights </w:t>
      </w:r>
      <w:r w:rsidR="00E70DA4">
        <w:rPr>
          <w:rFonts w:ascii="Century Schoolbook" w:hAnsi="Century Schoolbook"/>
        </w:rPr>
        <w:t xml:space="preserve">of </w:t>
      </w:r>
      <w:r w:rsidR="00E70DA4">
        <w:rPr>
          <w:rFonts w:ascii="Century Schoolbook" w:hAnsi="Century Schoolbook"/>
          <w:i/>
          <w:iCs/>
        </w:rPr>
        <w:t>Heller</w:t>
      </w:r>
      <w:r w:rsidR="00E70DA4">
        <w:rPr>
          <w:rFonts w:ascii="Century Schoolbook" w:hAnsi="Century Schoolbook"/>
        </w:rPr>
        <w:t xml:space="preserve"> include</w:t>
      </w:r>
      <w:r>
        <w:rPr>
          <w:rFonts w:ascii="Century Schoolbook" w:hAnsi="Century Schoolbook"/>
        </w:rPr>
        <w:t>:</w:t>
      </w:r>
    </w:p>
    <w:p w14:paraId="0FD02DA3" w14:textId="183F19E7" w:rsidR="007A6B86" w:rsidRDefault="007A6B86" w:rsidP="007760A0">
      <w:pPr>
        <w:pStyle w:val="ListParagraph"/>
        <w:numPr>
          <w:ilvl w:val="0"/>
          <w:numId w:val="9"/>
        </w:numPr>
        <w:spacing w:after="0" w:line="240" w:lineRule="auto"/>
        <w:rPr>
          <w:rFonts w:ascii="Century Schoolbook" w:hAnsi="Century Schoolbook"/>
        </w:rPr>
      </w:pPr>
      <w:r w:rsidRPr="007A6B86">
        <w:rPr>
          <w:rFonts w:ascii="Century Schoolbook" w:hAnsi="Century Schoolbook"/>
        </w:rPr>
        <w:t xml:space="preserve">Like the First and Fourth Amendments, the Second Amendment declared a “pre-existing right” which “shall not be infringed.” </w:t>
      </w:r>
      <w:r w:rsidRPr="007A6B86">
        <w:rPr>
          <w:rFonts w:ascii="Century Schoolbook" w:hAnsi="Century Schoolbook"/>
          <w:i/>
          <w:iCs/>
        </w:rPr>
        <w:t>Id.</w:t>
      </w:r>
      <w:r w:rsidRPr="007A6B86">
        <w:rPr>
          <w:rFonts w:ascii="Century Schoolbook" w:hAnsi="Century Schoolbook"/>
        </w:rPr>
        <w:t xml:space="preserve"> at 592</w:t>
      </w:r>
      <w:r>
        <w:rPr>
          <w:rFonts w:ascii="Century Schoolbook" w:hAnsi="Century Schoolbook"/>
        </w:rPr>
        <w:t>.</w:t>
      </w:r>
    </w:p>
    <w:p w14:paraId="63AFC4EA" w14:textId="77777777" w:rsidR="007760A0" w:rsidRDefault="007760A0" w:rsidP="007760A0">
      <w:pPr>
        <w:pStyle w:val="ListParagraph"/>
        <w:spacing w:after="0" w:line="240" w:lineRule="auto"/>
        <w:rPr>
          <w:rFonts w:ascii="Century Schoolbook" w:hAnsi="Century Schoolbook"/>
        </w:rPr>
      </w:pPr>
    </w:p>
    <w:p w14:paraId="074C2D31" w14:textId="22C7FF47" w:rsidR="000B4082" w:rsidRDefault="008E35CE" w:rsidP="007760A0">
      <w:pPr>
        <w:pStyle w:val="ListParagraph"/>
        <w:numPr>
          <w:ilvl w:val="0"/>
          <w:numId w:val="9"/>
        </w:numPr>
        <w:spacing w:after="0" w:line="240" w:lineRule="auto"/>
        <w:rPr>
          <w:rFonts w:ascii="Century Schoolbook" w:hAnsi="Century Schoolbook"/>
        </w:rPr>
      </w:pPr>
      <w:r w:rsidRPr="008E35CE">
        <w:rPr>
          <w:rFonts w:ascii="Century Schoolbook" w:hAnsi="Century Schoolbook"/>
        </w:rPr>
        <w:t>The Second Amendment thus protects “individuals' liberty to keep and carry arms … .”</w:t>
      </w:r>
      <w:r>
        <w:rPr>
          <w:rFonts w:ascii="Century Schoolbook" w:hAnsi="Century Schoolbook"/>
        </w:rPr>
        <w:t xml:space="preserve"> </w:t>
      </w:r>
      <w:r>
        <w:rPr>
          <w:rFonts w:ascii="Century Schoolbook" w:hAnsi="Century Schoolbook"/>
          <w:i/>
          <w:iCs/>
        </w:rPr>
        <w:t>Id</w:t>
      </w:r>
      <w:r>
        <w:rPr>
          <w:rFonts w:ascii="Century Schoolbook" w:hAnsi="Century Schoolbook"/>
        </w:rPr>
        <w:t>. at 604.</w:t>
      </w:r>
      <w:r w:rsidRPr="008E35CE">
        <w:rPr>
          <w:rFonts w:ascii="Century Schoolbook" w:hAnsi="Century Schoolbook"/>
        </w:rPr>
        <w:t xml:space="preserve"> This “involves, necessarily, the right to use such arms for all the ordinary purposes, and in all the ordinary modes usual in the country, and to which arms are adapted, limited by the duties of a good citizen in times of peace.”</w:t>
      </w:r>
      <w:r>
        <w:rPr>
          <w:rFonts w:ascii="Century Schoolbook" w:hAnsi="Century Schoolbook"/>
        </w:rPr>
        <w:t xml:space="preserve"> </w:t>
      </w:r>
      <w:r>
        <w:rPr>
          <w:rFonts w:ascii="Century Schoolbook" w:hAnsi="Century Schoolbook"/>
          <w:i/>
          <w:iCs/>
        </w:rPr>
        <w:t>Id</w:t>
      </w:r>
      <w:r>
        <w:rPr>
          <w:rFonts w:ascii="Century Schoolbook" w:hAnsi="Century Schoolbook"/>
        </w:rPr>
        <w:t>. at 614.</w:t>
      </w:r>
    </w:p>
    <w:p w14:paraId="0B5A1A4F" w14:textId="77777777" w:rsidR="007760A0" w:rsidRPr="007760A0" w:rsidRDefault="007760A0" w:rsidP="007760A0">
      <w:pPr>
        <w:spacing w:after="0" w:line="240" w:lineRule="auto"/>
        <w:rPr>
          <w:rFonts w:ascii="Century Schoolbook" w:hAnsi="Century Schoolbook"/>
        </w:rPr>
      </w:pPr>
    </w:p>
    <w:p w14:paraId="4F4EB049" w14:textId="326007D8" w:rsidR="007760A0" w:rsidRDefault="008E35CE" w:rsidP="007760A0">
      <w:pPr>
        <w:pStyle w:val="ListParagraph"/>
        <w:numPr>
          <w:ilvl w:val="0"/>
          <w:numId w:val="9"/>
        </w:numPr>
        <w:spacing w:after="0" w:line="240" w:lineRule="auto"/>
        <w:rPr>
          <w:rFonts w:ascii="Century Schoolbook" w:hAnsi="Century Schoolbook"/>
        </w:rPr>
      </w:pPr>
      <w:r w:rsidRPr="008E35CE">
        <w:rPr>
          <w:rFonts w:ascii="Century Schoolbook" w:hAnsi="Century Schoolbook"/>
        </w:rPr>
        <w:t>“[D.C.’s Handgun Ban] amounts to a prohibition of an entire class of “arms” that is overwhelmingly chosen by American society for that lawful purpose. The prohibition extends, moreover, to the home, where the need for defense of self, family, and property is most acute. Under any of the standards of scrutiny that we have applied to enumerated constitutional rights, banning from the home “the most preferred firearm in the nation to ‘keep’ and use for protection of one's home and family,” … would fail constitutional muster.</w:t>
      </w:r>
      <w:r w:rsidR="003E42DA">
        <w:rPr>
          <w:rFonts w:ascii="Century Schoolbook" w:hAnsi="Century Schoolbook"/>
        </w:rPr>
        <w:t xml:space="preserve"> </w:t>
      </w:r>
      <w:r w:rsidR="003E42DA">
        <w:rPr>
          <w:rFonts w:ascii="Century Schoolbook" w:hAnsi="Century Schoolbook"/>
          <w:i/>
          <w:iCs/>
        </w:rPr>
        <w:t>Id</w:t>
      </w:r>
      <w:r w:rsidR="003E42DA">
        <w:rPr>
          <w:rFonts w:ascii="Century Schoolbook" w:hAnsi="Century Schoolbook"/>
        </w:rPr>
        <w:t>. at 628-629.</w:t>
      </w:r>
    </w:p>
    <w:p w14:paraId="586CED27" w14:textId="77777777" w:rsidR="007760A0" w:rsidRPr="007760A0" w:rsidRDefault="007760A0" w:rsidP="007760A0">
      <w:pPr>
        <w:spacing w:after="0" w:line="240" w:lineRule="auto"/>
        <w:rPr>
          <w:rFonts w:ascii="Century Schoolbook" w:hAnsi="Century Schoolbook"/>
        </w:rPr>
      </w:pPr>
    </w:p>
    <w:p w14:paraId="7C0F9C87" w14:textId="326CD323" w:rsidR="003E42DA" w:rsidRDefault="00D76DF4" w:rsidP="007760A0">
      <w:pPr>
        <w:pStyle w:val="ListParagraph"/>
        <w:numPr>
          <w:ilvl w:val="0"/>
          <w:numId w:val="9"/>
        </w:numPr>
        <w:spacing w:after="0" w:line="240" w:lineRule="auto"/>
        <w:rPr>
          <w:rFonts w:ascii="Century Schoolbook" w:hAnsi="Century Schoolbook"/>
        </w:rPr>
      </w:pPr>
      <w:r>
        <w:rPr>
          <w:rFonts w:ascii="Century Schoolbook" w:hAnsi="Century Schoolbook"/>
        </w:rPr>
        <w:t>Rejecting “rational basis” scrutiny, “</w:t>
      </w:r>
      <w:r w:rsidRPr="00D76DF4">
        <w:rPr>
          <w:rFonts w:ascii="Century Schoolbook" w:hAnsi="Century Schoolbook"/>
        </w:rPr>
        <w:t xml:space="preserve">If all that was required to overcome the right to keep and bear arms was a rational basis, the Second Amendment would be redundant with the separate constitutional prohibitions on irrational </w:t>
      </w:r>
      <w:r w:rsidR="008943A3" w:rsidRPr="00D76DF4">
        <w:rPr>
          <w:rFonts w:ascii="Century Schoolbook" w:hAnsi="Century Schoolbook"/>
        </w:rPr>
        <w:t>laws and</w:t>
      </w:r>
      <w:r w:rsidRPr="00D76DF4">
        <w:rPr>
          <w:rFonts w:ascii="Century Schoolbook" w:hAnsi="Century Schoolbook"/>
        </w:rPr>
        <w:t xml:space="preserve"> would have no effect.”</w:t>
      </w:r>
      <w:r>
        <w:rPr>
          <w:rFonts w:ascii="Century Schoolbook" w:hAnsi="Century Schoolbook"/>
        </w:rPr>
        <w:t xml:space="preserve"> </w:t>
      </w:r>
      <w:r>
        <w:rPr>
          <w:rFonts w:ascii="Century Schoolbook" w:hAnsi="Century Schoolbook"/>
          <w:i/>
          <w:iCs/>
        </w:rPr>
        <w:t>Id.</w:t>
      </w:r>
      <w:r>
        <w:rPr>
          <w:rFonts w:ascii="Century Schoolbook" w:hAnsi="Century Schoolbook"/>
        </w:rPr>
        <w:t xml:space="preserve"> at 628 n.27.</w:t>
      </w:r>
    </w:p>
    <w:p w14:paraId="14CC0A06" w14:textId="77777777" w:rsidR="007760A0" w:rsidRPr="007760A0" w:rsidRDefault="007760A0" w:rsidP="007760A0">
      <w:pPr>
        <w:spacing w:after="0" w:line="240" w:lineRule="auto"/>
        <w:rPr>
          <w:rFonts w:ascii="Century Schoolbook" w:hAnsi="Century Schoolbook"/>
        </w:rPr>
      </w:pPr>
    </w:p>
    <w:p w14:paraId="710E8CEE" w14:textId="77777777" w:rsidR="002E2D58" w:rsidRDefault="00D76DF4" w:rsidP="002E2D58">
      <w:pPr>
        <w:pStyle w:val="ListParagraph"/>
        <w:numPr>
          <w:ilvl w:val="0"/>
          <w:numId w:val="9"/>
        </w:numPr>
        <w:spacing w:after="0" w:line="240" w:lineRule="auto"/>
        <w:rPr>
          <w:rFonts w:ascii="Century Schoolbook" w:hAnsi="Century Schoolbook"/>
        </w:rPr>
      </w:pPr>
      <w:r>
        <w:rPr>
          <w:rFonts w:ascii="Century Schoolbook" w:hAnsi="Century Schoolbook"/>
        </w:rPr>
        <w:t>Rejecting “interest-balancing,” “</w:t>
      </w:r>
      <w:r w:rsidRPr="00D76DF4">
        <w:rPr>
          <w:rFonts w:ascii="Century Schoolbook" w:hAnsi="Century Schoolbook"/>
        </w:rPr>
        <w:t>The very enumeration of the right takes out of the hands of government—even the Third Branch of Government—the power to decide on a case-by-case basis whether the right is really worth insisting upon. A constitutional guarantee subject to future judges' assessments of its usefulness is no constitutional guarantee at all.</w:t>
      </w:r>
      <w:r>
        <w:rPr>
          <w:rFonts w:ascii="Century Schoolbook" w:hAnsi="Century Schoolbook"/>
        </w:rPr>
        <w:t xml:space="preserve"> The Second Amendment is the very product of an interest-balancing by the people … [this] elevates above all other interests </w:t>
      </w:r>
      <w:r w:rsidRPr="00D76DF4">
        <w:rPr>
          <w:rFonts w:ascii="Century Schoolbook" w:hAnsi="Century Schoolbook"/>
        </w:rPr>
        <w:t>the right of law-abiding, responsible citizens to use arms in defense of hearth and home.”</w:t>
      </w:r>
      <w:r>
        <w:rPr>
          <w:rFonts w:ascii="Century Schoolbook" w:hAnsi="Century Schoolbook"/>
        </w:rPr>
        <w:t xml:space="preserve"> </w:t>
      </w:r>
      <w:r>
        <w:rPr>
          <w:rFonts w:ascii="Century Schoolbook" w:hAnsi="Century Schoolbook"/>
          <w:i/>
          <w:iCs/>
        </w:rPr>
        <w:t>Id</w:t>
      </w:r>
      <w:r>
        <w:rPr>
          <w:rFonts w:ascii="Century Schoolbook" w:hAnsi="Century Schoolbook"/>
        </w:rPr>
        <w:t>. at 634-635.</w:t>
      </w:r>
    </w:p>
    <w:p w14:paraId="3F21390A" w14:textId="77777777" w:rsidR="002E2D58" w:rsidRDefault="002E2D58" w:rsidP="002E2D58">
      <w:pPr>
        <w:spacing w:after="0" w:line="240" w:lineRule="auto"/>
        <w:rPr>
          <w:rFonts w:ascii="Century Schoolbook" w:hAnsi="Century Schoolbook"/>
          <w:b/>
          <w:bCs/>
          <w:u w:val="single"/>
        </w:rPr>
      </w:pPr>
    </w:p>
    <w:p w14:paraId="53386FEE" w14:textId="2DC3FCC5" w:rsidR="004364AA" w:rsidRDefault="004364AA" w:rsidP="002E2D58">
      <w:pPr>
        <w:spacing w:after="0" w:line="240" w:lineRule="auto"/>
        <w:jc w:val="center"/>
        <w:rPr>
          <w:rFonts w:ascii="Century Schoolbook" w:hAnsi="Century Schoolbook"/>
          <w:b/>
          <w:bCs/>
          <w:u w:val="single"/>
        </w:rPr>
      </w:pPr>
      <w:r w:rsidRPr="00E17202">
        <w:rPr>
          <w:rFonts w:ascii="Century Schoolbook" w:hAnsi="Century Schoolbook"/>
          <w:b/>
          <w:bCs/>
          <w:i/>
          <w:iCs/>
          <w:u w:val="single"/>
        </w:rPr>
        <w:t>McDonald v. City of Chicago</w:t>
      </w:r>
      <w:r w:rsidR="00E17202">
        <w:rPr>
          <w:rFonts w:ascii="Century Schoolbook" w:hAnsi="Century Schoolbook"/>
          <w:b/>
          <w:bCs/>
          <w:u w:val="single"/>
        </w:rPr>
        <w:t xml:space="preserve">, </w:t>
      </w:r>
      <w:r w:rsidR="00E17202" w:rsidRPr="00E17202">
        <w:rPr>
          <w:rFonts w:ascii="Century Schoolbook" w:hAnsi="Century Schoolbook"/>
          <w:b/>
          <w:bCs/>
          <w:u w:val="single"/>
        </w:rPr>
        <w:t>561 U.S. 742 (2010)</w:t>
      </w:r>
    </w:p>
    <w:p w14:paraId="2CCD8B20" w14:textId="77777777" w:rsidR="002E2D58" w:rsidRPr="002E2D58" w:rsidRDefault="002E2D58" w:rsidP="002E2D58">
      <w:pPr>
        <w:spacing w:after="0" w:line="240" w:lineRule="auto"/>
        <w:jc w:val="center"/>
        <w:rPr>
          <w:rFonts w:ascii="Century Schoolbook" w:hAnsi="Century Schoolbook"/>
        </w:rPr>
      </w:pPr>
    </w:p>
    <w:p w14:paraId="235EEC5A" w14:textId="2506A96F" w:rsidR="007760A0" w:rsidRDefault="00BD5495" w:rsidP="004364AA">
      <w:pPr>
        <w:spacing w:after="0" w:line="480" w:lineRule="auto"/>
        <w:ind w:firstLine="720"/>
        <w:rPr>
          <w:rFonts w:ascii="Century Schoolbook" w:hAnsi="Century Schoolbook"/>
        </w:rPr>
      </w:pPr>
      <w:r>
        <w:rPr>
          <w:rFonts w:ascii="Century Schoolbook" w:hAnsi="Century Schoolbook"/>
        </w:rPr>
        <w:t xml:space="preserve">After </w:t>
      </w:r>
      <w:r w:rsidR="004171F4">
        <w:rPr>
          <w:rFonts w:ascii="Century Schoolbook" w:hAnsi="Century Schoolbook"/>
          <w:i/>
          <w:iCs/>
        </w:rPr>
        <w:t>Heller</w:t>
      </w:r>
      <w:r w:rsidR="004171F4">
        <w:rPr>
          <w:rFonts w:ascii="Century Schoolbook" w:hAnsi="Century Schoolbook"/>
        </w:rPr>
        <w:t xml:space="preserve">, many jurisdictions continued to try and circumvent or outright defy the plain language of </w:t>
      </w:r>
      <w:r w:rsidR="0063769A">
        <w:rPr>
          <w:rFonts w:ascii="Century Schoolbook" w:hAnsi="Century Schoolbook"/>
        </w:rPr>
        <w:t>its holding</w:t>
      </w:r>
      <w:r w:rsidR="004171F4">
        <w:rPr>
          <w:rFonts w:ascii="Century Schoolbook" w:hAnsi="Century Schoolbook"/>
        </w:rPr>
        <w:t xml:space="preserve">. One particularly prevalent notion was that individual states were not bound by </w:t>
      </w:r>
      <w:r w:rsidR="004171F4">
        <w:rPr>
          <w:rFonts w:ascii="Century Schoolbook" w:hAnsi="Century Schoolbook"/>
          <w:i/>
          <w:iCs/>
        </w:rPr>
        <w:t>Heller</w:t>
      </w:r>
      <w:r w:rsidR="004171F4">
        <w:rPr>
          <w:rFonts w:ascii="Century Schoolbook" w:hAnsi="Century Schoolbook"/>
        </w:rPr>
        <w:t xml:space="preserve">. Dispelling this idea, in an opinion by Justice Alito, the Supreme Court declared in </w:t>
      </w:r>
      <w:r w:rsidR="004171F4">
        <w:rPr>
          <w:rFonts w:ascii="Century Schoolbook" w:hAnsi="Century Schoolbook"/>
          <w:i/>
          <w:iCs/>
        </w:rPr>
        <w:t>McDonald v. Chicago</w:t>
      </w:r>
      <w:r w:rsidR="004171F4">
        <w:rPr>
          <w:rFonts w:ascii="Century Schoolbook" w:hAnsi="Century Schoolbook"/>
        </w:rPr>
        <w:t xml:space="preserve">, that the </w:t>
      </w:r>
      <w:r w:rsidR="004171F4" w:rsidRPr="004171F4">
        <w:rPr>
          <w:rFonts w:ascii="Century Schoolbook" w:hAnsi="Century Schoolbook"/>
        </w:rPr>
        <w:t>right to keep and bear arms is a fundamental right which is fully applicable to the States according to the same standards as it is to the federal government</w:t>
      </w:r>
      <w:r w:rsidR="004171F4">
        <w:rPr>
          <w:rFonts w:ascii="Century Schoolbook" w:hAnsi="Century Schoolbook"/>
        </w:rPr>
        <w:t xml:space="preserve"> via the Fourteenth Amendment. </w:t>
      </w:r>
      <w:r w:rsidR="00713B5E">
        <w:rPr>
          <w:rFonts w:ascii="Century Schoolbook" w:hAnsi="Century Schoolbook"/>
        </w:rPr>
        <w:t>I</w:t>
      </w:r>
      <w:r w:rsidR="007760A0">
        <w:rPr>
          <w:rFonts w:ascii="Century Schoolbook" w:hAnsi="Century Schoolbook"/>
        </w:rPr>
        <w:t xml:space="preserve">mportant quotes from </w:t>
      </w:r>
      <w:r w:rsidR="007760A0">
        <w:rPr>
          <w:rFonts w:ascii="Century Schoolbook" w:hAnsi="Century Schoolbook"/>
          <w:i/>
          <w:iCs/>
        </w:rPr>
        <w:t>McDonald</w:t>
      </w:r>
      <w:r w:rsidR="007760A0">
        <w:rPr>
          <w:rFonts w:ascii="Century Schoolbook" w:hAnsi="Century Schoolbook"/>
        </w:rPr>
        <w:t xml:space="preserve"> include:</w:t>
      </w:r>
    </w:p>
    <w:p w14:paraId="4393F77F" w14:textId="5C61669D" w:rsidR="00D76DF4" w:rsidRDefault="007760A0" w:rsidP="00C86FDD">
      <w:pPr>
        <w:pStyle w:val="ListParagraph"/>
        <w:numPr>
          <w:ilvl w:val="0"/>
          <w:numId w:val="10"/>
        </w:numPr>
        <w:spacing w:after="0" w:line="240" w:lineRule="auto"/>
        <w:rPr>
          <w:rFonts w:ascii="Century Schoolbook" w:hAnsi="Century Schoolbook"/>
        </w:rPr>
      </w:pPr>
      <w:r w:rsidRPr="007760A0">
        <w:rPr>
          <w:rFonts w:ascii="Century Schoolbook" w:hAnsi="Century Schoolbook"/>
        </w:rPr>
        <w:t xml:space="preserve"> </w:t>
      </w:r>
      <w:r>
        <w:rPr>
          <w:rFonts w:ascii="Century Schoolbook" w:hAnsi="Century Schoolbook"/>
        </w:rPr>
        <w:t>“</w:t>
      </w:r>
      <w:r w:rsidRPr="007760A0">
        <w:rPr>
          <w:rFonts w:ascii="Century Schoolbook" w:hAnsi="Century Schoolbook"/>
        </w:rPr>
        <w:t xml:space="preserve">Self-defense is a basic right, recognized by many legal systems from ancient times to the present day, and in </w:t>
      </w:r>
      <w:r w:rsidRPr="007760A0">
        <w:rPr>
          <w:rFonts w:ascii="Century Schoolbook" w:hAnsi="Century Schoolbook"/>
          <w:i/>
          <w:iCs/>
        </w:rPr>
        <w:t>Heller</w:t>
      </w:r>
      <w:r w:rsidRPr="007760A0">
        <w:rPr>
          <w:rFonts w:ascii="Century Schoolbook" w:hAnsi="Century Schoolbook"/>
        </w:rPr>
        <w:t xml:space="preserve">, we held that individual </w:t>
      </w:r>
      <w:r w:rsidRPr="007760A0">
        <w:rPr>
          <w:rFonts w:ascii="Century Schoolbook" w:hAnsi="Century Schoolbook"/>
        </w:rPr>
        <w:lastRenderedPageBreak/>
        <w:t>self-defense is ‘the central component’ of the Second Amendment right.”</w:t>
      </w:r>
      <w:r>
        <w:rPr>
          <w:rFonts w:ascii="Century Schoolbook" w:hAnsi="Century Schoolbook"/>
        </w:rPr>
        <w:t xml:space="preserve"> </w:t>
      </w:r>
      <w:r>
        <w:rPr>
          <w:rFonts w:ascii="Century Schoolbook" w:hAnsi="Century Schoolbook"/>
          <w:i/>
          <w:iCs/>
        </w:rPr>
        <w:t>Id</w:t>
      </w:r>
      <w:r>
        <w:rPr>
          <w:rFonts w:ascii="Century Schoolbook" w:hAnsi="Century Schoolbook"/>
        </w:rPr>
        <w:t>. at 767.</w:t>
      </w:r>
    </w:p>
    <w:p w14:paraId="0BCE8BA0" w14:textId="77777777" w:rsidR="00C86FDD" w:rsidRDefault="00C86FDD" w:rsidP="00C86FDD">
      <w:pPr>
        <w:pStyle w:val="ListParagraph"/>
        <w:spacing w:after="0" w:line="240" w:lineRule="auto"/>
        <w:ind w:left="1080"/>
        <w:rPr>
          <w:rFonts w:ascii="Century Schoolbook" w:hAnsi="Century Schoolbook"/>
        </w:rPr>
      </w:pPr>
    </w:p>
    <w:p w14:paraId="2A66B68D" w14:textId="61E8B48F" w:rsidR="00B720DA" w:rsidRDefault="007760A0" w:rsidP="00C86FDD">
      <w:pPr>
        <w:pStyle w:val="ListParagraph"/>
        <w:numPr>
          <w:ilvl w:val="0"/>
          <w:numId w:val="10"/>
        </w:numPr>
        <w:spacing w:after="0" w:line="240" w:lineRule="auto"/>
        <w:rPr>
          <w:rFonts w:ascii="Century Schoolbook" w:hAnsi="Century Schoolbook"/>
        </w:rPr>
      </w:pPr>
      <w:r>
        <w:rPr>
          <w:rFonts w:ascii="Century Schoolbook" w:hAnsi="Century Schoolbook"/>
        </w:rPr>
        <w:t>“</w:t>
      </w:r>
      <w:r w:rsidRPr="007760A0">
        <w:rPr>
          <w:rFonts w:ascii="Century Schoolbook" w:hAnsi="Century Schoolbook"/>
        </w:rPr>
        <w:t xml:space="preserve">Antifederalists and Federalists alike agreed that the right to bear arms was fundamental to the newly formed system of government …. But those who were fearful that the new Federal Government would infringe traditional rights such as the right to keep and bear arms insisted on the adoption of the Bill of Rights as a condition for ratification of the Constitution …. This is surely powerful evidence that the right was regarded as fundamental in the sense relevant </w:t>
      </w:r>
      <w:r w:rsidR="00AF0999" w:rsidRPr="007760A0">
        <w:rPr>
          <w:rFonts w:ascii="Century Schoolbook" w:hAnsi="Century Schoolbook"/>
        </w:rPr>
        <w:t>here.</w:t>
      </w:r>
      <w:r w:rsidR="00AF0999">
        <w:rPr>
          <w:rFonts w:ascii="Century Schoolbook" w:hAnsi="Century Schoolbook"/>
        </w:rPr>
        <w:t>”</w:t>
      </w:r>
      <w:r>
        <w:rPr>
          <w:rFonts w:ascii="Century Schoolbook" w:hAnsi="Century Schoolbook"/>
        </w:rPr>
        <w:t xml:space="preserve"> </w:t>
      </w:r>
      <w:r>
        <w:rPr>
          <w:rFonts w:ascii="Century Schoolbook" w:hAnsi="Century Schoolbook"/>
          <w:i/>
          <w:iCs/>
        </w:rPr>
        <w:t>Id</w:t>
      </w:r>
      <w:r>
        <w:rPr>
          <w:rFonts w:ascii="Century Schoolbook" w:hAnsi="Century Schoolbook"/>
        </w:rPr>
        <w:t>. at 769.</w:t>
      </w:r>
    </w:p>
    <w:p w14:paraId="380FA585" w14:textId="77777777" w:rsidR="002E2D58" w:rsidRDefault="002E2D58" w:rsidP="007805BE">
      <w:pPr>
        <w:spacing w:after="0" w:line="240" w:lineRule="auto"/>
        <w:jc w:val="center"/>
        <w:rPr>
          <w:rFonts w:ascii="Century Schoolbook" w:hAnsi="Century Schoolbook"/>
          <w:b/>
          <w:bCs/>
          <w:i/>
          <w:iCs/>
          <w:u w:val="single"/>
          <w:lang w:val="es-MX"/>
        </w:rPr>
      </w:pPr>
    </w:p>
    <w:p w14:paraId="07CB1D4E" w14:textId="00107C0F" w:rsidR="007805BE" w:rsidRPr="00705738" w:rsidRDefault="007805BE" w:rsidP="007805BE">
      <w:pPr>
        <w:spacing w:after="0" w:line="240" w:lineRule="auto"/>
        <w:jc w:val="center"/>
        <w:rPr>
          <w:rFonts w:ascii="Century Schoolbook" w:hAnsi="Century Schoolbook"/>
          <w:b/>
          <w:bCs/>
          <w:u w:val="single"/>
        </w:rPr>
      </w:pPr>
      <w:r w:rsidRPr="00705738">
        <w:rPr>
          <w:rFonts w:ascii="Century Schoolbook" w:hAnsi="Century Schoolbook"/>
          <w:b/>
          <w:bCs/>
          <w:i/>
          <w:iCs/>
          <w:u w:val="single"/>
        </w:rPr>
        <w:t>Caetano v. Massachusetts</w:t>
      </w:r>
      <w:r w:rsidR="00705738" w:rsidRPr="00705738">
        <w:rPr>
          <w:rFonts w:ascii="Century Schoolbook" w:hAnsi="Century Schoolbook"/>
          <w:b/>
          <w:bCs/>
          <w:u w:val="single"/>
        </w:rPr>
        <w:t>,</w:t>
      </w:r>
      <w:r w:rsidR="000C2CBC" w:rsidRPr="00705738">
        <w:rPr>
          <w:rFonts w:ascii="Century Schoolbook" w:hAnsi="Century Schoolbook"/>
          <w:b/>
          <w:bCs/>
          <w:u w:val="single"/>
        </w:rPr>
        <w:t xml:space="preserve"> </w:t>
      </w:r>
      <w:r w:rsidR="00705738" w:rsidRPr="00705738">
        <w:rPr>
          <w:rFonts w:ascii="Century Schoolbook" w:hAnsi="Century Schoolbook"/>
          <w:b/>
          <w:bCs/>
          <w:u w:val="single"/>
        </w:rPr>
        <w:t xml:space="preserve">577 U.S. 411 </w:t>
      </w:r>
      <w:r w:rsidR="000C2CBC" w:rsidRPr="00705738">
        <w:rPr>
          <w:rFonts w:ascii="Century Schoolbook" w:hAnsi="Century Schoolbook"/>
          <w:b/>
          <w:bCs/>
          <w:u w:val="single"/>
        </w:rPr>
        <w:t>(2016)</w:t>
      </w:r>
    </w:p>
    <w:p w14:paraId="53AC34A3" w14:textId="77777777" w:rsidR="007805BE" w:rsidRPr="00705738" w:rsidRDefault="007805BE" w:rsidP="007805BE">
      <w:pPr>
        <w:spacing w:after="0" w:line="240" w:lineRule="auto"/>
        <w:jc w:val="center"/>
        <w:rPr>
          <w:rFonts w:ascii="Century Schoolbook" w:hAnsi="Century Schoolbook"/>
          <w:b/>
          <w:bCs/>
          <w:u w:val="single"/>
        </w:rPr>
      </w:pPr>
    </w:p>
    <w:p w14:paraId="20D388BA" w14:textId="52D360B4" w:rsidR="007805BE" w:rsidRPr="007805BE" w:rsidRDefault="007805BE" w:rsidP="007805BE">
      <w:pPr>
        <w:spacing w:after="0" w:line="480" w:lineRule="auto"/>
        <w:rPr>
          <w:rFonts w:ascii="Century Schoolbook" w:hAnsi="Century Schoolbook"/>
        </w:rPr>
      </w:pPr>
      <w:r w:rsidRPr="00927484">
        <w:rPr>
          <w:rFonts w:ascii="Century Schoolbook" w:hAnsi="Century Schoolbook"/>
        </w:rPr>
        <w:tab/>
      </w:r>
      <w:r w:rsidRPr="007805BE">
        <w:rPr>
          <w:rFonts w:ascii="Century Schoolbook" w:hAnsi="Century Schoolbook"/>
        </w:rPr>
        <w:t xml:space="preserve">Then, in </w:t>
      </w:r>
      <w:r w:rsidRPr="007805BE">
        <w:rPr>
          <w:rFonts w:ascii="Century Schoolbook" w:hAnsi="Century Schoolbook"/>
          <w:i/>
          <w:iCs/>
        </w:rPr>
        <w:t>Caetano v. Massachusetts</w:t>
      </w:r>
      <w:r w:rsidRPr="007805BE">
        <w:rPr>
          <w:rFonts w:ascii="Century Schoolbook" w:hAnsi="Century Schoolbook"/>
        </w:rPr>
        <w:t xml:space="preserve">, 577 U.S. 411 (2016), the Supreme Court reaffirmed its conclusion in </w:t>
      </w:r>
      <w:r w:rsidRPr="007B2B94">
        <w:rPr>
          <w:rFonts w:ascii="Century Schoolbook" w:hAnsi="Century Schoolbook"/>
          <w:i/>
          <w:iCs/>
        </w:rPr>
        <w:t>Heller</w:t>
      </w:r>
      <w:r w:rsidRPr="007805BE">
        <w:rPr>
          <w:rFonts w:ascii="Century Schoolbook" w:hAnsi="Century Schoolbook"/>
        </w:rPr>
        <w:t xml:space="preserve"> that “the Second Amendment extends, prima facie, to all instruments that constitute bearable arms, even those that were not in existence at the time of the founding …” and that this “Second Amendment right is fully applicable to the States.” </w:t>
      </w:r>
      <w:r w:rsidRPr="007805BE">
        <w:rPr>
          <w:rFonts w:ascii="Century Schoolbook" w:hAnsi="Century Schoolbook"/>
          <w:i/>
          <w:iCs/>
        </w:rPr>
        <w:t>Id</w:t>
      </w:r>
      <w:r w:rsidRPr="007805BE">
        <w:rPr>
          <w:rFonts w:ascii="Century Schoolbook" w:hAnsi="Century Schoolbook"/>
        </w:rPr>
        <w:t>. at 411, 416.</w:t>
      </w:r>
    </w:p>
    <w:p w14:paraId="72B58612" w14:textId="55B5DC00" w:rsidR="00B720DA" w:rsidRPr="000C2CBC" w:rsidRDefault="00B720DA" w:rsidP="00836F4F">
      <w:pPr>
        <w:tabs>
          <w:tab w:val="left" w:pos="5445"/>
        </w:tabs>
        <w:spacing w:after="0" w:line="480" w:lineRule="auto"/>
        <w:jc w:val="center"/>
        <w:rPr>
          <w:rFonts w:ascii="Century Schoolbook" w:hAnsi="Century Schoolbook"/>
          <w:b/>
          <w:bCs/>
          <w:u w:val="single"/>
        </w:rPr>
      </w:pPr>
      <w:r w:rsidRPr="00927484">
        <w:rPr>
          <w:rFonts w:ascii="Century Schoolbook" w:hAnsi="Century Schoolbook"/>
          <w:b/>
          <w:bCs/>
          <w:i/>
          <w:iCs/>
          <w:u w:val="single"/>
        </w:rPr>
        <w:t xml:space="preserve">Peruta v. </w:t>
      </w:r>
      <w:r w:rsidR="00C86FDD" w:rsidRPr="00927484">
        <w:rPr>
          <w:rFonts w:ascii="Century Schoolbook" w:hAnsi="Century Schoolbook"/>
          <w:b/>
          <w:bCs/>
          <w:i/>
          <w:iCs/>
          <w:u w:val="single"/>
        </w:rPr>
        <w:t>California</w:t>
      </w:r>
      <w:r w:rsidR="00705738">
        <w:rPr>
          <w:rFonts w:ascii="Century Schoolbook" w:hAnsi="Century Schoolbook"/>
          <w:b/>
          <w:bCs/>
          <w:u w:val="single"/>
        </w:rPr>
        <w:t>,</w:t>
      </w:r>
      <w:r w:rsidR="000C2CBC">
        <w:rPr>
          <w:rFonts w:ascii="Century Schoolbook" w:hAnsi="Century Schoolbook"/>
          <w:b/>
          <w:bCs/>
          <w:u w:val="single"/>
        </w:rPr>
        <w:t xml:space="preserve"> </w:t>
      </w:r>
      <w:r w:rsidR="00705738" w:rsidRPr="00705738">
        <w:rPr>
          <w:rFonts w:ascii="Century Schoolbook" w:hAnsi="Century Schoolbook"/>
          <w:b/>
          <w:bCs/>
          <w:u w:val="single"/>
        </w:rPr>
        <w:t>582 U.S. 943, (2017)</w:t>
      </w:r>
    </w:p>
    <w:p w14:paraId="1CB77D4A" w14:textId="2468387E" w:rsidR="00293137" w:rsidRDefault="00B720DA" w:rsidP="00B720DA">
      <w:pPr>
        <w:spacing w:after="0" w:line="480" w:lineRule="auto"/>
        <w:rPr>
          <w:rFonts w:ascii="Century Schoolbook" w:hAnsi="Century Schoolbook"/>
        </w:rPr>
      </w:pPr>
      <w:r w:rsidRPr="00927484">
        <w:rPr>
          <w:rFonts w:ascii="Century Schoolbook" w:hAnsi="Century Schoolbook"/>
        </w:rPr>
        <w:tab/>
      </w:r>
      <w:r w:rsidRPr="00B720DA">
        <w:rPr>
          <w:rFonts w:ascii="Century Schoolbook" w:hAnsi="Century Schoolbook"/>
        </w:rPr>
        <w:t>As t</w:t>
      </w:r>
      <w:r>
        <w:rPr>
          <w:rFonts w:ascii="Century Schoolbook" w:hAnsi="Century Schoolbook"/>
        </w:rPr>
        <w:t xml:space="preserve">ension began to build over the meaning of this new approach to Second Amendment </w:t>
      </w:r>
      <w:r w:rsidR="008943A3">
        <w:rPr>
          <w:rFonts w:ascii="Century Schoolbook" w:hAnsi="Century Schoolbook"/>
        </w:rPr>
        <w:t>j</w:t>
      </w:r>
      <w:r>
        <w:rPr>
          <w:rFonts w:ascii="Century Schoolbook" w:hAnsi="Century Schoolbook"/>
        </w:rPr>
        <w:t xml:space="preserve">urisprudence, many jurisdictions began to push the envelope with regard to firearms regulation. Specifically, the issue of “carry permits” became more prominent. In </w:t>
      </w:r>
      <w:r>
        <w:rPr>
          <w:rFonts w:ascii="Century Schoolbook" w:hAnsi="Century Schoolbook"/>
          <w:i/>
          <w:iCs/>
        </w:rPr>
        <w:t>Peruta v. San Diego</w:t>
      </w:r>
      <w:r>
        <w:rPr>
          <w:rFonts w:ascii="Century Schoolbook" w:hAnsi="Century Schoolbook"/>
        </w:rPr>
        <w:t xml:space="preserve">, the Ninth Circuit Court of Appeals upheld </w:t>
      </w:r>
      <w:r w:rsidR="00C86FDD">
        <w:rPr>
          <w:rFonts w:ascii="Century Schoolbook" w:hAnsi="Century Schoolbook"/>
        </w:rPr>
        <w:t xml:space="preserve">legislation which required individuals to demonstrate “good cause” for the issuance of a permit to carry a firearm. Disappointingly, the U.S. Supreme Court denied certiorari in </w:t>
      </w:r>
      <w:r w:rsidR="00C86FDD">
        <w:rPr>
          <w:rFonts w:ascii="Century Schoolbook" w:hAnsi="Century Schoolbook"/>
          <w:i/>
          <w:iCs/>
        </w:rPr>
        <w:t>Peruta</w:t>
      </w:r>
      <w:r w:rsidR="00C86FDD">
        <w:rPr>
          <w:rFonts w:ascii="Century Schoolbook" w:hAnsi="Century Schoolbook"/>
        </w:rPr>
        <w:t>, but Justices Thomas and Gorsuch had much to say about the Court’s reticence to decide this issue. Justice Thomas wrote that the Court</w:t>
      </w:r>
    </w:p>
    <w:p w14:paraId="3E581866" w14:textId="4961ADAE" w:rsidR="00293137" w:rsidRDefault="00C86FDD" w:rsidP="00293137">
      <w:pPr>
        <w:spacing w:after="0" w:line="240" w:lineRule="auto"/>
        <w:ind w:left="360" w:right="360"/>
        <w:rPr>
          <w:rFonts w:ascii="Century Schoolbook" w:hAnsi="Century Schoolbook"/>
        </w:rPr>
      </w:pPr>
      <w:r>
        <w:rPr>
          <w:rFonts w:ascii="Century Schoolbook" w:hAnsi="Century Schoolbook"/>
        </w:rPr>
        <w:t xml:space="preserve">has already suggested that the Second Amendment protects the right to carry firearms in public in some fashion,” and that he found it “extremely improbable that the Framers understood the Second Amendment to protect </w:t>
      </w:r>
      <w:r>
        <w:rPr>
          <w:rFonts w:ascii="Century Schoolbook" w:hAnsi="Century Schoolbook"/>
        </w:rPr>
        <w:lastRenderedPageBreak/>
        <w:t xml:space="preserve">little </w:t>
      </w:r>
      <w:r w:rsidR="008943A3">
        <w:rPr>
          <w:rFonts w:ascii="Century Schoolbook" w:hAnsi="Century Schoolbook"/>
        </w:rPr>
        <w:t>more</w:t>
      </w:r>
      <w:r>
        <w:rPr>
          <w:rFonts w:ascii="Century Schoolbook" w:hAnsi="Century Schoolbook"/>
        </w:rPr>
        <w:t xml:space="preserve"> than carrying a gun from the bedroom to the kitchen,” and that, given the historical evidence and precedent, the denial of certiorari “reflects a distressing trend: the treatment of the Second Amendment as a disfavored right</w:t>
      </w:r>
      <w:r w:rsidR="00293137">
        <w:rPr>
          <w:rFonts w:ascii="Century Schoolbook" w:hAnsi="Century Schoolbook"/>
        </w:rPr>
        <w:t>.</w:t>
      </w:r>
    </w:p>
    <w:p w14:paraId="11F715A6" w14:textId="77777777" w:rsidR="00293137" w:rsidRDefault="00293137" w:rsidP="00293137">
      <w:pPr>
        <w:spacing w:after="0" w:line="240" w:lineRule="auto"/>
        <w:ind w:left="360" w:right="360"/>
        <w:rPr>
          <w:rFonts w:ascii="Century Schoolbook" w:hAnsi="Century Schoolbook"/>
        </w:rPr>
      </w:pPr>
    </w:p>
    <w:p w14:paraId="2043A095" w14:textId="5C798E61" w:rsidR="008943A3" w:rsidRDefault="00C86FDD" w:rsidP="00FF3BA0">
      <w:pPr>
        <w:spacing w:after="0" w:line="240" w:lineRule="auto"/>
        <w:rPr>
          <w:rFonts w:ascii="Century Schoolbook" w:hAnsi="Century Schoolbook"/>
        </w:rPr>
      </w:pPr>
      <w:r w:rsidRPr="00C86FDD">
        <w:rPr>
          <w:rFonts w:ascii="Century Schoolbook" w:hAnsi="Century Schoolbook"/>
          <w:i/>
          <w:iCs/>
        </w:rPr>
        <w:t>Peruta v. California</w:t>
      </w:r>
      <w:r w:rsidRPr="00C86FDD">
        <w:rPr>
          <w:rFonts w:ascii="Century Schoolbook" w:hAnsi="Century Schoolbook"/>
        </w:rPr>
        <w:t>, 582 U.S. 943, (2017) (Thomas, J., dissenting from denial of certiorari).</w:t>
      </w:r>
    </w:p>
    <w:p w14:paraId="1851F69D" w14:textId="77777777" w:rsidR="00FF3BA0" w:rsidRDefault="00FF3BA0" w:rsidP="00FF3BA0">
      <w:pPr>
        <w:spacing w:after="0" w:line="240" w:lineRule="auto"/>
        <w:rPr>
          <w:rFonts w:ascii="Century Schoolbook" w:hAnsi="Century Schoolbook"/>
        </w:rPr>
      </w:pPr>
    </w:p>
    <w:p w14:paraId="0FE40EB4" w14:textId="77777777" w:rsidR="00293137" w:rsidRDefault="00C86FDD" w:rsidP="008943A3">
      <w:pPr>
        <w:spacing w:after="0" w:line="480" w:lineRule="auto"/>
        <w:ind w:firstLine="720"/>
        <w:rPr>
          <w:rFonts w:ascii="Century Schoolbook" w:hAnsi="Century Schoolbook"/>
        </w:rPr>
      </w:pPr>
      <w:r>
        <w:rPr>
          <w:rFonts w:ascii="Century Schoolbook" w:hAnsi="Century Schoolbook"/>
        </w:rPr>
        <w:t xml:space="preserve">Furthermore, Justice Thomas </w:t>
      </w:r>
      <w:r w:rsidR="008943A3">
        <w:rPr>
          <w:rFonts w:ascii="Century Schoolbook" w:hAnsi="Century Schoolbook"/>
        </w:rPr>
        <w:t xml:space="preserve">noted </w:t>
      </w:r>
      <w:r>
        <w:rPr>
          <w:rFonts w:ascii="Century Schoolbook" w:hAnsi="Century Schoolbook"/>
        </w:rPr>
        <w:t xml:space="preserve">that </w:t>
      </w:r>
    </w:p>
    <w:p w14:paraId="78AAFD37" w14:textId="77777777" w:rsidR="00293137" w:rsidRDefault="00C86FDD" w:rsidP="00293137">
      <w:pPr>
        <w:spacing w:after="0" w:line="240" w:lineRule="auto"/>
        <w:ind w:left="360" w:right="360"/>
        <w:rPr>
          <w:rFonts w:ascii="Century Schoolbook" w:hAnsi="Century Schoolbook"/>
        </w:rPr>
      </w:pPr>
      <w:r w:rsidRPr="00C86FDD">
        <w:rPr>
          <w:rFonts w:ascii="Century Schoolbook" w:hAnsi="Century Schoolbook"/>
        </w:rPr>
        <w:t>For those of us who work in marbled halls, guarded constantly by a vigilant and dedicated police force, the guarantees of the Second Amendment might seem antiquated and superfluous. But the Framers made a clear choice: They reserved to all Americans the right to bear arms for self-defense. I do not think we should stand by idly while a State denies its citizens that right, particularly when their very lives may depend on it.</w:t>
      </w:r>
    </w:p>
    <w:p w14:paraId="18921E65" w14:textId="77777777" w:rsidR="00293137" w:rsidRDefault="00293137" w:rsidP="00293137">
      <w:pPr>
        <w:spacing w:after="0" w:line="240" w:lineRule="auto"/>
        <w:ind w:left="360" w:right="360" w:firstLine="720"/>
        <w:rPr>
          <w:rFonts w:ascii="Century Schoolbook" w:hAnsi="Century Schoolbook"/>
        </w:rPr>
      </w:pPr>
    </w:p>
    <w:p w14:paraId="1D1D030E" w14:textId="38A4D44B" w:rsidR="00B720DA" w:rsidRPr="00012FCA" w:rsidRDefault="00012FCA" w:rsidP="00293137">
      <w:pPr>
        <w:spacing w:after="0" w:line="480" w:lineRule="auto"/>
        <w:rPr>
          <w:rFonts w:ascii="Century Schoolbook" w:hAnsi="Century Schoolbook"/>
        </w:rPr>
      </w:pPr>
      <w:r>
        <w:rPr>
          <w:rFonts w:ascii="Century Schoolbook" w:hAnsi="Century Schoolbook"/>
          <w:i/>
          <w:iCs/>
        </w:rPr>
        <w:t>Id</w:t>
      </w:r>
      <w:r>
        <w:rPr>
          <w:rFonts w:ascii="Century Schoolbook" w:hAnsi="Century Schoolbook"/>
        </w:rPr>
        <w:t>. at 943.</w:t>
      </w:r>
    </w:p>
    <w:p w14:paraId="7204DCD0" w14:textId="75B90C4D" w:rsidR="006279BE" w:rsidRPr="00005CFE" w:rsidRDefault="00005CFE" w:rsidP="006279BE">
      <w:pPr>
        <w:spacing w:after="0" w:line="480" w:lineRule="auto"/>
        <w:jc w:val="center"/>
        <w:rPr>
          <w:rFonts w:ascii="Century Schoolbook" w:hAnsi="Century Schoolbook"/>
          <w:b/>
          <w:bCs/>
          <w:u w:val="single"/>
        </w:rPr>
      </w:pPr>
      <w:r w:rsidRPr="00005CFE">
        <w:rPr>
          <w:rFonts w:ascii="Century Schoolbook" w:hAnsi="Century Schoolbook"/>
          <w:b/>
          <w:bCs/>
          <w:i/>
          <w:iCs/>
          <w:u w:val="single"/>
        </w:rPr>
        <w:t xml:space="preserve">N.Y.S.R.P. v. Bruen, </w:t>
      </w:r>
      <w:r w:rsidRPr="00005CFE">
        <w:rPr>
          <w:rFonts w:ascii="Century Schoolbook" w:hAnsi="Century Schoolbook"/>
          <w:b/>
          <w:bCs/>
          <w:u w:val="single"/>
        </w:rPr>
        <w:t>597 U.S. 2122 (2022)</w:t>
      </w:r>
    </w:p>
    <w:p w14:paraId="3F128638" w14:textId="5ADDA082" w:rsidR="006279BE" w:rsidRDefault="006279BE" w:rsidP="006279BE">
      <w:pPr>
        <w:spacing w:after="0" w:line="480" w:lineRule="auto"/>
        <w:rPr>
          <w:rFonts w:ascii="Century Schoolbook" w:hAnsi="Century Schoolbook"/>
        </w:rPr>
      </w:pPr>
      <w:r>
        <w:rPr>
          <w:rFonts w:ascii="Century Schoolbook" w:hAnsi="Century Schoolbook"/>
        </w:rPr>
        <w:tab/>
        <w:t xml:space="preserve">After the </w:t>
      </w:r>
      <w:r w:rsidR="003161E2">
        <w:rPr>
          <w:rFonts w:ascii="Century Schoolbook" w:hAnsi="Century Schoolbook"/>
          <w:i/>
          <w:iCs/>
        </w:rPr>
        <w:t>Caetano</w:t>
      </w:r>
      <w:r>
        <w:rPr>
          <w:rFonts w:ascii="Century Schoolbook" w:hAnsi="Century Schoolbook"/>
        </w:rPr>
        <w:t xml:space="preserve"> decision in 20</w:t>
      </w:r>
      <w:r w:rsidR="003161E2">
        <w:rPr>
          <w:rFonts w:ascii="Century Schoolbook" w:hAnsi="Century Schoolbook"/>
        </w:rPr>
        <w:t>16</w:t>
      </w:r>
      <w:r>
        <w:rPr>
          <w:rFonts w:ascii="Century Schoolbook" w:hAnsi="Century Schoolbook"/>
        </w:rPr>
        <w:t>, the Supreme Court continued to dodge any further Second Amendment issues by deny</w:t>
      </w:r>
      <w:r w:rsidR="003161E2">
        <w:rPr>
          <w:rFonts w:ascii="Century Schoolbook" w:hAnsi="Century Schoolbook"/>
        </w:rPr>
        <w:t>ing</w:t>
      </w:r>
      <w:r>
        <w:rPr>
          <w:rFonts w:ascii="Century Schoolbook" w:hAnsi="Century Schoolbook"/>
        </w:rPr>
        <w:t xml:space="preserve"> certiorari in a number of</w:t>
      </w:r>
      <w:r w:rsidR="00293137">
        <w:rPr>
          <w:rFonts w:ascii="Century Schoolbook" w:hAnsi="Century Schoolbook"/>
        </w:rPr>
        <w:t xml:space="preserve"> </w:t>
      </w:r>
      <w:r>
        <w:rPr>
          <w:rFonts w:ascii="Century Schoolbook" w:hAnsi="Century Schoolbook"/>
        </w:rPr>
        <w:t xml:space="preserve">important cases. Unfortunately, Justice Scalia, one of the most ardent defenders of the Second Amendment, passed away in 2016. </w:t>
      </w:r>
      <w:r w:rsidR="006B3AF2">
        <w:rPr>
          <w:rFonts w:ascii="Century Schoolbook" w:hAnsi="Century Schoolbook"/>
        </w:rPr>
        <w:t>I</w:t>
      </w:r>
      <w:r>
        <w:rPr>
          <w:rFonts w:ascii="Century Schoolbook" w:hAnsi="Century Schoolbook"/>
        </w:rPr>
        <w:t xml:space="preserve">n 2021, the Court granted certiorari in </w:t>
      </w:r>
      <w:r>
        <w:rPr>
          <w:rFonts w:ascii="Century Schoolbook" w:hAnsi="Century Schoolbook"/>
          <w:i/>
          <w:iCs/>
        </w:rPr>
        <w:t>NYSRP v. Bruen</w:t>
      </w:r>
      <w:r>
        <w:rPr>
          <w:rFonts w:ascii="Century Schoolbook" w:hAnsi="Century Schoolbook"/>
        </w:rPr>
        <w:t xml:space="preserve">. The question presented was whether New York State’s denial of the Petitioners’ applications for concealed carry permits violated the Second Amendment. The scheme at issue required the issuance of a license to carry a concealed handgun outside of one’s own premises, which could only be obtained by satisfying a state official (bureaucrat) that “proper cause” existed for the issuance of the permit. </w:t>
      </w:r>
    </w:p>
    <w:p w14:paraId="77E451A6" w14:textId="3789C25C" w:rsidR="00B069C9" w:rsidRDefault="00B069C9" w:rsidP="006279BE">
      <w:pPr>
        <w:spacing w:after="0" w:line="480" w:lineRule="auto"/>
        <w:rPr>
          <w:rFonts w:ascii="Century Schoolbook" w:hAnsi="Century Schoolbook"/>
        </w:rPr>
      </w:pPr>
      <w:r>
        <w:rPr>
          <w:rFonts w:ascii="Century Schoolbook" w:hAnsi="Century Schoolbook"/>
        </w:rPr>
        <w:tab/>
        <w:t xml:space="preserve">Writing for the majority, Justice Thomas explained that </w:t>
      </w:r>
      <w:r w:rsidRPr="00B069C9">
        <w:rPr>
          <w:rFonts w:ascii="Century Schoolbook" w:hAnsi="Century Schoolbook"/>
        </w:rPr>
        <w:t xml:space="preserve">the Second and Fourteenth Amendments together guarantee individual Americans not only the </w:t>
      </w:r>
      <w:r w:rsidRPr="00B069C9">
        <w:rPr>
          <w:rFonts w:ascii="Century Schoolbook" w:hAnsi="Century Schoolbook"/>
        </w:rPr>
        <w:lastRenderedPageBreak/>
        <w:t xml:space="preserve">right to “keep” firearms in their homes, but also the right to “bear arms,” meaning “to carry a handgun for self-defense outside the home,” free from infringement by either federal or state governments. </w:t>
      </w:r>
      <w:r w:rsidRPr="00815B20">
        <w:rPr>
          <w:rFonts w:ascii="Century Schoolbook" w:hAnsi="Century Schoolbook"/>
          <w:i/>
          <w:iCs/>
        </w:rPr>
        <w:t>N.Y.S.R.P. v. Bruen</w:t>
      </w:r>
      <w:r w:rsidRPr="00B069C9">
        <w:rPr>
          <w:rFonts w:ascii="Century Schoolbook" w:hAnsi="Century Schoolbook"/>
        </w:rPr>
        <w:t>, 597 U.S. 2122</w:t>
      </w:r>
      <w:r w:rsidR="00530B9E">
        <w:rPr>
          <w:rFonts w:ascii="Century Schoolbook" w:hAnsi="Century Schoolbook"/>
        </w:rPr>
        <w:t xml:space="preserve"> (2022)</w:t>
      </w:r>
      <w:r w:rsidRPr="00B069C9">
        <w:rPr>
          <w:rFonts w:ascii="Century Schoolbook" w:hAnsi="Century Schoolbook"/>
        </w:rPr>
        <w:t>.</w:t>
      </w:r>
      <w:r>
        <w:rPr>
          <w:rFonts w:ascii="Century Schoolbook" w:hAnsi="Century Schoolbook"/>
        </w:rPr>
        <w:t xml:space="preserve"> </w:t>
      </w:r>
    </w:p>
    <w:p w14:paraId="2B03413B" w14:textId="7BDC568E" w:rsidR="00C4103C" w:rsidRDefault="00B069C9" w:rsidP="006279BE">
      <w:pPr>
        <w:spacing w:after="0" w:line="480" w:lineRule="auto"/>
        <w:rPr>
          <w:rFonts w:ascii="Century Schoolbook" w:hAnsi="Century Schoolbook"/>
        </w:rPr>
      </w:pPr>
      <w:r>
        <w:rPr>
          <w:rFonts w:ascii="Century Schoolbook" w:hAnsi="Century Schoolbook"/>
        </w:rPr>
        <w:tab/>
      </w:r>
      <w:r w:rsidRPr="00B069C9">
        <w:rPr>
          <w:rFonts w:ascii="Century Schoolbook" w:hAnsi="Century Schoolbook"/>
        </w:rPr>
        <w:t>Importantly, in addition to clearly recognizing the right of “‘law-abiding, responsible citizens’ … to public carry” (</w:t>
      </w:r>
      <w:r w:rsidR="002270BC" w:rsidRPr="002270BC">
        <w:rPr>
          <w:rFonts w:ascii="Century Schoolbook" w:hAnsi="Century Schoolbook"/>
          <w:i/>
          <w:iCs/>
        </w:rPr>
        <w:t>I</w:t>
      </w:r>
      <w:r w:rsidRPr="002270BC">
        <w:rPr>
          <w:rFonts w:ascii="Century Schoolbook" w:hAnsi="Century Schoolbook"/>
          <w:i/>
          <w:iCs/>
        </w:rPr>
        <w:t>d</w:t>
      </w:r>
      <w:r w:rsidRPr="00B069C9">
        <w:rPr>
          <w:rFonts w:ascii="Century Schoolbook" w:hAnsi="Century Schoolbook"/>
        </w:rPr>
        <w:t xml:space="preserve">. at 2138, n.9), </w:t>
      </w:r>
      <w:r w:rsidRPr="003161E2">
        <w:rPr>
          <w:rFonts w:ascii="Century Schoolbook" w:hAnsi="Century Schoolbook"/>
          <w:i/>
          <w:iCs/>
        </w:rPr>
        <w:t>Bruen</w:t>
      </w:r>
      <w:r w:rsidRPr="00B069C9">
        <w:rPr>
          <w:rFonts w:ascii="Century Schoolbook" w:hAnsi="Century Schoolbook"/>
        </w:rPr>
        <w:t xml:space="preserve"> also </w:t>
      </w:r>
      <w:r w:rsidR="00E0504A">
        <w:rPr>
          <w:rFonts w:ascii="Century Schoolbook" w:hAnsi="Century Schoolbook"/>
        </w:rPr>
        <w:t>rejected</w:t>
      </w:r>
      <w:r w:rsidRPr="00B069C9">
        <w:rPr>
          <w:rFonts w:ascii="Century Schoolbook" w:hAnsi="Century Schoolbook"/>
        </w:rPr>
        <w:t xml:space="preserve"> the methodology used within </w:t>
      </w:r>
      <w:r w:rsidR="003161E2">
        <w:rPr>
          <w:rFonts w:ascii="Century Schoolbook" w:hAnsi="Century Schoolbook"/>
        </w:rPr>
        <w:t xml:space="preserve">the </w:t>
      </w:r>
      <w:r w:rsidR="002270BC">
        <w:rPr>
          <w:rFonts w:ascii="Century Schoolbook" w:hAnsi="Century Schoolbook"/>
        </w:rPr>
        <w:t>c</w:t>
      </w:r>
      <w:r w:rsidR="003161E2">
        <w:rPr>
          <w:rFonts w:ascii="Century Schoolbook" w:hAnsi="Century Schoolbook"/>
        </w:rPr>
        <w:t xml:space="preserve">ircuit </w:t>
      </w:r>
      <w:r w:rsidR="002270BC">
        <w:rPr>
          <w:rFonts w:ascii="Century Schoolbook" w:hAnsi="Century Schoolbook"/>
        </w:rPr>
        <w:t>c</w:t>
      </w:r>
      <w:r w:rsidR="003161E2">
        <w:rPr>
          <w:rFonts w:ascii="Century Schoolbook" w:hAnsi="Century Schoolbook"/>
        </w:rPr>
        <w:t>ourts</w:t>
      </w:r>
      <w:r w:rsidRPr="00B069C9">
        <w:rPr>
          <w:rFonts w:ascii="Century Schoolbook" w:hAnsi="Century Schoolbook"/>
        </w:rPr>
        <w:t xml:space="preserve"> to judge Second Amendment challenges.</w:t>
      </w:r>
    </w:p>
    <w:p w14:paraId="662D4BF8" w14:textId="77777777" w:rsidR="00B069C9" w:rsidRPr="00B069C9" w:rsidRDefault="00B069C9" w:rsidP="00B069C9">
      <w:pPr>
        <w:spacing w:after="0" w:line="480" w:lineRule="auto"/>
        <w:rPr>
          <w:rFonts w:ascii="Century Schoolbook" w:hAnsi="Century Schoolbook"/>
        </w:rPr>
      </w:pPr>
      <w:r>
        <w:rPr>
          <w:rFonts w:ascii="Century Schoolbook" w:hAnsi="Century Schoolbook"/>
        </w:rPr>
        <w:tab/>
      </w:r>
      <w:r w:rsidRPr="00B069C9">
        <w:rPr>
          <w:rFonts w:ascii="Century Schoolbook" w:hAnsi="Century Schoolbook"/>
        </w:rPr>
        <w:t xml:space="preserve">Prior to </w:t>
      </w:r>
      <w:r w:rsidRPr="003161E2">
        <w:rPr>
          <w:rFonts w:ascii="Century Schoolbook" w:hAnsi="Century Schoolbook"/>
          <w:i/>
          <w:iCs/>
        </w:rPr>
        <w:t>Bruen</w:t>
      </w:r>
      <w:r w:rsidRPr="00B069C9">
        <w:rPr>
          <w:rFonts w:ascii="Century Schoolbook" w:hAnsi="Century Schoolbook"/>
        </w:rPr>
        <w:t>, the U.S. Court of Appeals for the Fourth Circuit had adopted a two-part test for analyzing Second Amendment cases:</w:t>
      </w:r>
    </w:p>
    <w:p w14:paraId="15F85F5E" w14:textId="7166F376" w:rsidR="00B069C9" w:rsidRDefault="00B069C9" w:rsidP="00B069C9">
      <w:pPr>
        <w:spacing w:after="0" w:line="240" w:lineRule="auto"/>
        <w:ind w:left="360" w:right="360"/>
        <w:rPr>
          <w:rFonts w:ascii="Century Schoolbook" w:hAnsi="Century Schoolbook"/>
        </w:rPr>
      </w:pPr>
      <w:r w:rsidRPr="00B069C9">
        <w:rPr>
          <w:rFonts w:ascii="Century Schoolbook" w:hAnsi="Century Schoolbook"/>
        </w:rPr>
        <w:t xml:space="preserve">[W]e have concluded that a two-part approach to Second Amendment claims seems appropriate under </w:t>
      </w:r>
      <w:r w:rsidRPr="00815B20">
        <w:rPr>
          <w:rFonts w:ascii="Century Schoolbook" w:hAnsi="Century Schoolbook"/>
          <w:i/>
          <w:iCs/>
        </w:rPr>
        <w:t>Heller</w:t>
      </w:r>
      <w:r w:rsidRPr="00B069C9">
        <w:rPr>
          <w:rFonts w:ascii="Century Schoolbook" w:hAnsi="Century Schoolbook"/>
        </w:rPr>
        <w:t>. Pursuant to that two-part approach, we first ask whether the challenged law imposes a burden on conduct falling within the scope of the Second Amendment's guarantee. If the answer is no, then the challenged law is valid. If, however, the challenged law imposes a burden on conduct protected by the Second Amendment, we next apply</w:t>
      </w:r>
      <w:r w:rsidR="00815B20">
        <w:rPr>
          <w:rFonts w:ascii="Century Schoolbook" w:hAnsi="Century Schoolbook"/>
        </w:rPr>
        <w:t xml:space="preserve"> </w:t>
      </w:r>
      <w:r w:rsidRPr="00B069C9">
        <w:rPr>
          <w:rFonts w:ascii="Century Schoolbook" w:hAnsi="Century Schoolbook"/>
        </w:rPr>
        <w:t xml:space="preserve">an appropriate form of means-end scrutiny…. [W]e … select between strict scrutiny and intermediate scrutiny…. [T]he level of scrutiny we apply depends on the nature of the conduct being regulated and the degree to which the challenged law burdens the right. </w:t>
      </w:r>
      <w:r w:rsidRPr="00815B20">
        <w:rPr>
          <w:rFonts w:ascii="Century Schoolbook" w:hAnsi="Century Schoolbook"/>
          <w:i/>
          <w:iCs/>
        </w:rPr>
        <w:t>Kolbe v. Hogan</w:t>
      </w:r>
      <w:r w:rsidRPr="00B069C9">
        <w:rPr>
          <w:rFonts w:ascii="Century Schoolbook" w:hAnsi="Century Schoolbook"/>
        </w:rPr>
        <w:t>, 849 F.3d 114, 132-133 (4th Cir. 2017).</w:t>
      </w:r>
    </w:p>
    <w:p w14:paraId="7E95F869" w14:textId="77777777" w:rsidR="00815B20" w:rsidRDefault="00815B20" w:rsidP="00B069C9">
      <w:pPr>
        <w:spacing w:after="0" w:line="240" w:lineRule="auto"/>
        <w:ind w:left="360" w:right="360"/>
        <w:rPr>
          <w:rFonts w:ascii="Century Schoolbook" w:hAnsi="Century Schoolbook"/>
        </w:rPr>
      </w:pPr>
    </w:p>
    <w:p w14:paraId="580676E7" w14:textId="77777777" w:rsidR="00440D36" w:rsidRDefault="00815B20" w:rsidP="00815B20">
      <w:pPr>
        <w:spacing w:after="0" w:line="480" w:lineRule="auto"/>
        <w:ind w:right="360"/>
        <w:rPr>
          <w:rFonts w:ascii="Century Schoolbook" w:hAnsi="Century Schoolbook"/>
        </w:rPr>
      </w:pPr>
      <w:r w:rsidRPr="00815B20">
        <w:rPr>
          <w:rFonts w:ascii="Century Schoolbook" w:hAnsi="Century Schoolbook"/>
        </w:rPr>
        <w:t xml:space="preserve">See also </w:t>
      </w:r>
      <w:r w:rsidRPr="00815B20">
        <w:rPr>
          <w:rFonts w:ascii="Century Schoolbook" w:hAnsi="Century Schoolbook"/>
          <w:i/>
          <w:iCs/>
        </w:rPr>
        <w:t>Bruen</w:t>
      </w:r>
      <w:r w:rsidRPr="00815B20">
        <w:rPr>
          <w:rFonts w:ascii="Century Schoolbook" w:hAnsi="Century Schoolbook"/>
        </w:rPr>
        <w:t xml:space="preserve"> at 2127, n.4 (collecting cases using two-part test). </w:t>
      </w:r>
    </w:p>
    <w:p w14:paraId="5B1979C9" w14:textId="79233DCA" w:rsidR="00815B20" w:rsidRDefault="00815B20" w:rsidP="00440D36">
      <w:pPr>
        <w:spacing w:after="0" w:line="480" w:lineRule="auto"/>
        <w:ind w:right="360" w:firstLine="720"/>
        <w:rPr>
          <w:rFonts w:ascii="Century Schoolbook" w:hAnsi="Century Schoolbook"/>
        </w:rPr>
      </w:pPr>
      <w:r w:rsidRPr="00815B20">
        <w:rPr>
          <w:rFonts w:ascii="Century Schoolbook" w:hAnsi="Century Schoolbook"/>
        </w:rPr>
        <w:t xml:space="preserve">Other circuits had adopted and used a substantially similar formula, which invariably utilized the very same “judge-empowering ‘interest-balancing inquiry’” that </w:t>
      </w:r>
      <w:r w:rsidRPr="00815B20">
        <w:rPr>
          <w:rFonts w:ascii="Century Schoolbook" w:hAnsi="Century Schoolbook"/>
          <w:i/>
          <w:iCs/>
        </w:rPr>
        <w:t>Heller</w:t>
      </w:r>
      <w:r w:rsidRPr="00815B20">
        <w:rPr>
          <w:rFonts w:ascii="Century Schoolbook" w:hAnsi="Century Schoolbook"/>
        </w:rPr>
        <w:t xml:space="preserve"> had explicitly rejected. See </w:t>
      </w:r>
      <w:r w:rsidRPr="00815B20">
        <w:rPr>
          <w:rFonts w:ascii="Century Schoolbook" w:hAnsi="Century Schoolbook"/>
          <w:i/>
          <w:iCs/>
        </w:rPr>
        <w:t>Heller</w:t>
      </w:r>
      <w:r w:rsidRPr="00815B20">
        <w:rPr>
          <w:rFonts w:ascii="Century Schoolbook" w:hAnsi="Century Schoolbook"/>
        </w:rPr>
        <w:t xml:space="preserve"> at 634; see also </w:t>
      </w:r>
      <w:r w:rsidRPr="00815B20">
        <w:rPr>
          <w:rFonts w:ascii="Century Schoolbook" w:hAnsi="Century Schoolbook"/>
          <w:i/>
          <w:iCs/>
        </w:rPr>
        <w:t>Duncan v. Becerra</w:t>
      </w:r>
      <w:r w:rsidRPr="00815B20">
        <w:rPr>
          <w:rFonts w:ascii="Century Schoolbook" w:hAnsi="Century Schoolbook"/>
        </w:rPr>
        <w:t>, 265 F. Supp. 3d 1106, 1117 (S.D. Cal. 2017), aff’d 742 Fed. Appx. 218 (9th Cir. 2018) (“the Ninth Circuit uses what might be called a tripartite binary test with a sliding scale and a reasonable fit.”).</w:t>
      </w:r>
    </w:p>
    <w:p w14:paraId="72A33917" w14:textId="09E58EF3" w:rsidR="00815B20" w:rsidRDefault="00815B20" w:rsidP="00815B20">
      <w:pPr>
        <w:spacing w:after="0" w:line="480" w:lineRule="auto"/>
        <w:ind w:right="360"/>
        <w:rPr>
          <w:rFonts w:ascii="Century Schoolbook" w:hAnsi="Century Schoolbook"/>
        </w:rPr>
      </w:pPr>
      <w:r>
        <w:rPr>
          <w:rFonts w:ascii="Century Schoolbook" w:hAnsi="Century Schoolbook"/>
        </w:rPr>
        <w:tab/>
      </w:r>
      <w:r w:rsidRPr="00815B20">
        <w:rPr>
          <w:rFonts w:ascii="Century Schoolbook" w:hAnsi="Century Schoolbook"/>
        </w:rPr>
        <w:t>Rejecting this widespread “judge empowering” (</w:t>
      </w:r>
      <w:r w:rsidRPr="00815B20">
        <w:rPr>
          <w:rFonts w:ascii="Century Schoolbook" w:hAnsi="Century Schoolbook"/>
          <w:i/>
          <w:iCs/>
        </w:rPr>
        <w:t>Bruen</w:t>
      </w:r>
      <w:r w:rsidRPr="00815B20">
        <w:rPr>
          <w:rFonts w:ascii="Century Schoolbook" w:hAnsi="Century Schoolbook"/>
        </w:rPr>
        <w:t xml:space="preserve"> at 2129) interest-balancing approach, </w:t>
      </w:r>
      <w:r w:rsidRPr="00815B20">
        <w:rPr>
          <w:rFonts w:ascii="Century Schoolbook" w:hAnsi="Century Schoolbook"/>
          <w:i/>
          <w:iCs/>
        </w:rPr>
        <w:t>Bruen</w:t>
      </w:r>
      <w:r w:rsidRPr="00815B20">
        <w:rPr>
          <w:rFonts w:ascii="Century Schoolbook" w:hAnsi="Century Schoolbook"/>
        </w:rPr>
        <w:t xml:space="preserve"> </w:t>
      </w:r>
      <w:r w:rsidR="00713B5E">
        <w:rPr>
          <w:rFonts w:ascii="Century Schoolbook" w:hAnsi="Century Schoolbook"/>
        </w:rPr>
        <w:t xml:space="preserve">instead </w:t>
      </w:r>
      <w:r w:rsidRPr="00815B20">
        <w:rPr>
          <w:rFonts w:ascii="Century Schoolbook" w:hAnsi="Century Schoolbook"/>
        </w:rPr>
        <w:t xml:space="preserve">directed the federal courts to assess the text </w:t>
      </w:r>
      <w:r w:rsidRPr="00815B20">
        <w:rPr>
          <w:rFonts w:ascii="Century Schoolbook" w:hAnsi="Century Schoolbook"/>
        </w:rPr>
        <w:lastRenderedPageBreak/>
        <w:t>of the Second Amendment,</w:t>
      </w:r>
      <w:r w:rsidR="004A4678">
        <w:rPr>
          <w:rFonts w:ascii="Century Schoolbook" w:hAnsi="Century Schoolbook"/>
        </w:rPr>
        <w:t xml:space="preserve"> as</w:t>
      </w:r>
      <w:r w:rsidRPr="00815B20">
        <w:rPr>
          <w:rFonts w:ascii="Century Schoolbook" w:hAnsi="Century Schoolbook"/>
        </w:rPr>
        <w:t xml:space="preserve"> informed by the historical tradition. </w:t>
      </w:r>
      <w:r w:rsidRPr="00815B20">
        <w:rPr>
          <w:rFonts w:ascii="Century Schoolbook" w:hAnsi="Century Schoolbook"/>
          <w:i/>
          <w:iCs/>
        </w:rPr>
        <w:t>Bruen</w:t>
      </w:r>
      <w:r w:rsidRPr="00815B20">
        <w:rPr>
          <w:rFonts w:ascii="Century Schoolbook" w:hAnsi="Century Schoolbook"/>
        </w:rPr>
        <w:t xml:space="preserve"> at 2127.</w:t>
      </w:r>
    </w:p>
    <w:p w14:paraId="50F043C6" w14:textId="055116EB" w:rsidR="00815B20" w:rsidRPr="00815B20" w:rsidRDefault="00815B20" w:rsidP="00815B20">
      <w:pPr>
        <w:spacing w:after="0" w:line="480" w:lineRule="auto"/>
        <w:ind w:right="360" w:firstLine="720"/>
        <w:rPr>
          <w:rFonts w:ascii="Century Schoolbook" w:hAnsi="Century Schoolbook"/>
        </w:rPr>
      </w:pPr>
      <w:r w:rsidRPr="00815B20">
        <w:rPr>
          <w:rFonts w:ascii="Century Schoolbook" w:hAnsi="Century Schoolbook"/>
        </w:rPr>
        <w:t xml:space="preserve">First, the Supreme Court “decline[d] to adopt that two-part approach” used in </w:t>
      </w:r>
      <w:r w:rsidR="003161E2">
        <w:rPr>
          <w:rFonts w:ascii="Century Schoolbook" w:hAnsi="Century Schoolbook"/>
        </w:rPr>
        <w:t>the Circuit Courts</w:t>
      </w:r>
      <w:r w:rsidRPr="00815B20">
        <w:rPr>
          <w:rFonts w:ascii="Century Schoolbook" w:hAnsi="Century Schoolbook"/>
        </w:rPr>
        <w:t>, and reiterated that, “[</w:t>
      </w:r>
      <w:proofErr w:type="spellStart"/>
      <w:r w:rsidRPr="00815B20">
        <w:rPr>
          <w:rFonts w:ascii="Century Schoolbook" w:hAnsi="Century Schoolbook"/>
        </w:rPr>
        <w:t>i</w:t>
      </w:r>
      <w:proofErr w:type="spellEnd"/>
      <w:r w:rsidRPr="00815B20">
        <w:rPr>
          <w:rFonts w:ascii="Century Schoolbook" w:hAnsi="Century Schoolbook"/>
        </w:rPr>
        <w:t xml:space="preserve">]n keeping with </w:t>
      </w:r>
      <w:r w:rsidRPr="00815B20">
        <w:rPr>
          <w:rFonts w:ascii="Century Schoolbook" w:hAnsi="Century Schoolbook"/>
          <w:i/>
          <w:iCs/>
        </w:rPr>
        <w:t>Heller</w:t>
      </w:r>
      <w:r w:rsidRPr="00815B20">
        <w:rPr>
          <w:rFonts w:ascii="Century Schoolbook" w:hAnsi="Century Schoolbook"/>
        </w:rPr>
        <w:t xml:space="preserve">, we hold that when the Second Amendment’s plain text covers an individual’s conduct, the Constitution presumptively protects that conduct.” </w:t>
      </w:r>
      <w:r w:rsidRPr="00815B20">
        <w:rPr>
          <w:rFonts w:ascii="Century Schoolbook" w:hAnsi="Century Schoolbook"/>
          <w:i/>
          <w:iCs/>
        </w:rPr>
        <w:t>Bruen</w:t>
      </w:r>
      <w:r w:rsidRPr="00815B20">
        <w:rPr>
          <w:rFonts w:ascii="Century Schoolbook" w:hAnsi="Century Schoolbook"/>
        </w:rPr>
        <w:t xml:space="preserve"> at 2126.</w:t>
      </w:r>
    </w:p>
    <w:p w14:paraId="2469FC68" w14:textId="1A1041A2" w:rsidR="00815B20" w:rsidRDefault="00815B20" w:rsidP="00815B20">
      <w:pPr>
        <w:spacing w:after="0" w:line="480" w:lineRule="auto"/>
        <w:ind w:right="360" w:firstLine="720"/>
        <w:rPr>
          <w:rFonts w:ascii="Century Schoolbook" w:hAnsi="Century Schoolbook"/>
        </w:rPr>
      </w:pPr>
      <w:r w:rsidRPr="00815B20">
        <w:rPr>
          <w:rFonts w:ascii="Century Schoolbook" w:hAnsi="Century Schoolbook"/>
        </w:rPr>
        <w:t xml:space="preserve">Second, the Court held that, “[t]o justify [a] regulation, the government may not simply posit that the regulation promotes an important interest. Rather, the government must demonstrate that the regulation is consistent with this Nation’s historical tradition of firearm regulation. Only if a firearm regulation is consistent with this Nation’s historical tradition may a court conclude that the individual’s conduct falls outside the Second Amendment’s ‘unqualified command.’” </w:t>
      </w:r>
      <w:r w:rsidRPr="00815B20">
        <w:rPr>
          <w:rFonts w:ascii="Century Schoolbook" w:hAnsi="Century Schoolbook"/>
          <w:i/>
          <w:iCs/>
        </w:rPr>
        <w:t>Id</w:t>
      </w:r>
      <w:r w:rsidRPr="00815B20">
        <w:rPr>
          <w:rFonts w:ascii="Century Schoolbook" w:hAnsi="Century Schoolbook"/>
        </w:rPr>
        <w:t>.</w:t>
      </w:r>
    </w:p>
    <w:p w14:paraId="2AE22E64" w14:textId="363F924D" w:rsidR="00815B20" w:rsidRDefault="00815B20" w:rsidP="00815B20">
      <w:pPr>
        <w:spacing w:after="0" w:line="480" w:lineRule="auto"/>
        <w:ind w:right="360" w:firstLine="720"/>
        <w:rPr>
          <w:rFonts w:ascii="Century Schoolbook" w:hAnsi="Century Schoolbook"/>
        </w:rPr>
      </w:pPr>
      <w:r w:rsidRPr="00815B20">
        <w:rPr>
          <w:rFonts w:ascii="Century Schoolbook" w:hAnsi="Century Schoolbook"/>
        </w:rPr>
        <w:t xml:space="preserve">Third, in reviewing the historical evidence, the Court in </w:t>
      </w:r>
      <w:r w:rsidRPr="00815B20">
        <w:rPr>
          <w:rFonts w:ascii="Century Schoolbook" w:hAnsi="Century Schoolbook"/>
          <w:i/>
          <w:iCs/>
        </w:rPr>
        <w:t>Bruen</w:t>
      </w:r>
      <w:r w:rsidRPr="00815B20">
        <w:rPr>
          <w:rFonts w:ascii="Century Schoolbook" w:hAnsi="Century Schoolbook"/>
        </w:rPr>
        <w:t xml:space="preserve"> cabined review of relevant history to a narrow time period, because “not all history is created equal,” focusing on the period around the ratification of the Second Amendment, and perhaps the Fourteenth Amendment (but noted that “post-ratification” interpretations “cannot overcome or alter that text,” and “we have generally assumed that the scope of the protection applicable to the Federal Government and States is pegged to the public understanding of the right when the Bill of Rights was adopted in 1791.”). See </w:t>
      </w:r>
      <w:r w:rsidRPr="00815B20">
        <w:rPr>
          <w:rFonts w:ascii="Century Schoolbook" w:hAnsi="Century Schoolbook"/>
          <w:i/>
          <w:iCs/>
        </w:rPr>
        <w:t>Bruen</w:t>
      </w:r>
      <w:r w:rsidRPr="00815B20">
        <w:rPr>
          <w:rFonts w:ascii="Century Schoolbook" w:hAnsi="Century Schoolbook"/>
        </w:rPr>
        <w:t xml:space="preserve"> at 2135-2156 (discussing the lack of relevant historical prohibitions on concealed carry in public).</w:t>
      </w:r>
    </w:p>
    <w:p w14:paraId="4F4CC8AE" w14:textId="1B2F6184" w:rsidR="00815B20" w:rsidRDefault="00815B20" w:rsidP="00815B20">
      <w:pPr>
        <w:spacing w:after="0" w:line="480" w:lineRule="auto"/>
        <w:ind w:right="360" w:firstLine="720"/>
        <w:rPr>
          <w:rFonts w:ascii="Century Schoolbook" w:hAnsi="Century Schoolbook"/>
        </w:rPr>
      </w:pPr>
      <w:r w:rsidRPr="00815B20">
        <w:rPr>
          <w:rFonts w:ascii="Century Schoolbook" w:hAnsi="Century Schoolbook"/>
        </w:rPr>
        <w:lastRenderedPageBreak/>
        <w:t xml:space="preserve">In other words, according to the Second Amendment’s text, and as elucidated by the Court in </w:t>
      </w:r>
      <w:r w:rsidRPr="00815B20">
        <w:rPr>
          <w:rFonts w:ascii="Century Schoolbook" w:hAnsi="Century Schoolbook"/>
          <w:i/>
          <w:iCs/>
        </w:rPr>
        <w:t>Bruen</w:t>
      </w:r>
      <w:r w:rsidRPr="00815B20">
        <w:rPr>
          <w:rFonts w:ascii="Century Schoolbook" w:hAnsi="Century Schoolbook"/>
        </w:rPr>
        <w:t xml:space="preserve">, if a member of “the people” wishes to “keep” or “bear” a protected “arm,” then the ability to do so “shall not be infringed.” Period. </w:t>
      </w:r>
      <w:r w:rsidR="0066028E">
        <w:rPr>
          <w:rFonts w:ascii="Century Schoolbook" w:hAnsi="Century Schoolbook"/>
        </w:rPr>
        <w:t>I</w:t>
      </w:r>
      <w:r w:rsidRPr="00815B20">
        <w:rPr>
          <w:rFonts w:ascii="Century Schoolbook" w:hAnsi="Century Schoolbook"/>
        </w:rPr>
        <w:t>t does not matter how important, significant, compelling, or overriding the government’s justification for infringing th</w:t>
      </w:r>
      <w:r w:rsidR="0066028E">
        <w:rPr>
          <w:rFonts w:ascii="Century Schoolbook" w:hAnsi="Century Schoolbook"/>
        </w:rPr>
        <w:t>at</w:t>
      </w:r>
      <w:r w:rsidRPr="00815B20">
        <w:rPr>
          <w:rFonts w:ascii="Century Schoolbook" w:hAnsi="Century Schoolbook"/>
        </w:rPr>
        <w:t xml:space="preserve"> right. It does not matter whether a government restriction “minimally” versus “severely” burdens the Second Amendment. There are no relevant statistical studies to be consulted. There are no sociological arguments to be considered. The ubiquitous problems of crime or the density of population do not affect the equation. The only appropriate inquiry then, according to </w:t>
      </w:r>
      <w:r w:rsidRPr="00815B20">
        <w:rPr>
          <w:rFonts w:ascii="Century Schoolbook" w:hAnsi="Century Schoolbook"/>
          <w:i/>
          <w:iCs/>
        </w:rPr>
        <w:t>Bruen</w:t>
      </w:r>
      <w:r w:rsidRPr="00815B20">
        <w:rPr>
          <w:rFonts w:ascii="Century Schoolbook" w:hAnsi="Century Schoolbook"/>
        </w:rPr>
        <w:t>, is what the “public understanding of the right to keep and bear</w:t>
      </w:r>
      <w:r>
        <w:rPr>
          <w:rFonts w:ascii="Century Schoolbook" w:hAnsi="Century Schoolbook"/>
        </w:rPr>
        <w:t xml:space="preserve"> </w:t>
      </w:r>
      <w:r w:rsidRPr="00815B20">
        <w:rPr>
          <w:rFonts w:ascii="Century Schoolbook" w:hAnsi="Century Schoolbook"/>
        </w:rPr>
        <w:t xml:space="preserve">arms” was during the ratification of the Second Amendment in 1791, and perhaps during ratification of the Fourteenth Amendment in 1868. </w:t>
      </w:r>
      <w:r w:rsidRPr="00815B20">
        <w:rPr>
          <w:rFonts w:ascii="Century Schoolbook" w:hAnsi="Century Schoolbook"/>
          <w:i/>
          <w:iCs/>
        </w:rPr>
        <w:t>Bruen</w:t>
      </w:r>
      <w:r w:rsidRPr="00815B20">
        <w:rPr>
          <w:rFonts w:ascii="Century Schoolbook" w:hAnsi="Century Schoolbook"/>
        </w:rPr>
        <w:t xml:space="preserve"> at 2138</w:t>
      </w:r>
      <w:r>
        <w:rPr>
          <w:rFonts w:ascii="Century Schoolbook" w:hAnsi="Century Schoolbook"/>
        </w:rPr>
        <w:t>.</w:t>
      </w:r>
    </w:p>
    <w:p w14:paraId="63893664" w14:textId="6F13ED1D" w:rsidR="00375A92" w:rsidRPr="000C2CBC" w:rsidRDefault="00147C8F" w:rsidP="00375A92">
      <w:pPr>
        <w:spacing w:after="0" w:line="480" w:lineRule="auto"/>
        <w:ind w:right="360" w:firstLine="720"/>
        <w:jc w:val="center"/>
        <w:rPr>
          <w:rFonts w:ascii="Century Schoolbook" w:hAnsi="Century Schoolbook"/>
          <w:b/>
          <w:bCs/>
          <w:u w:val="single"/>
        </w:rPr>
      </w:pPr>
      <w:r>
        <w:rPr>
          <w:rFonts w:ascii="Century Schoolbook" w:hAnsi="Century Schoolbook"/>
          <w:b/>
          <w:bCs/>
          <w:i/>
          <w:iCs/>
          <w:u w:val="single"/>
        </w:rPr>
        <w:t>United States v. Rahim</w:t>
      </w:r>
      <w:r w:rsidR="00AB45BF">
        <w:rPr>
          <w:rFonts w:ascii="Century Schoolbook" w:hAnsi="Century Schoolbook"/>
          <w:b/>
          <w:bCs/>
          <w:i/>
          <w:iCs/>
          <w:u w:val="single"/>
        </w:rPr>
        <w:t>i,</w:t>
      </w:r>
      <w:r w:rsidR="000C2CBC">
        <w:rPr>
          <w:rFonts w:ascii="Century Schoolbook" w:hAnsi="Century Schoolbook"/>
          <w:b/>
          <w:bCs/>
          <w:u w:val="single"/>
        </w:rPr>
        <w:t xml:space="preserve"> </w:t>
      </w:r>
      <w:r w:rsidR="00AB45BF" w:rsidRPr="00AB45BF">
        <w:rPr>
          <w:rFonts w:ascii="Century Schoolbook" w:hAnsi="Century Schoolbook"/>
          <w:b/>
          <w:bCs/>
          <w:u w:val="single"/>
        </w:rPr>
        <w:t>602 U.S. 680 (2024)</w:t>
      </w:r>
    </w:p>
    <w:p w14:paraId="3F0394EC" w14:textId="77777777" w:rsidR="00420630" w:rsidRDefault="00AB4FF4" w:rsidP="00420630">
      <w:pPr>
        <w:spacing w:after="0" w:line="480" w:lineRule="auto"/>
        <w:ind w:right="360" w:firstLine="720"/>
        <w:rPr>
          <w:rFonts w:ascii="Century Schoolbook" w:hAnsi="Century Schoolbook"/>
        </w:rPr>
      </w:pPr>
      <w:r>
        <w:rPr>
          <w:rFonts w:ascii="Century Schoolbook" w:hAnsi="Century Schoolbook"/>
        </w:rPr>
        <w:t xml:space="preserve">In </w:t>
      </w:r>
      <w:r>
        <w:rPr>
          <w:rFonts w:ascii="Century Schoolbook" w:hAnsi="Century Schoolbook"/>
          <w:i/>
          <w:iCs/>
        </w:rPr>
        <w:t>U.S. v. Rahimi</w:t>
      </w:r>
      <w:r>
        <w:rPr>
          <w:rFonts w:ascii="Century Schoolbook" w:hAnsi="Century Schoolbook"/>
        </w:rPr>
        <w:t xml:space="preserve">, the Supreme Court upheld </w:t>
      </w:r>
      <w:r w:rsidR="00E03CEE">
        <w:rPr>
          <w:rFonts w:ascii="Century Schoolbook" w:hAnsi="Century Schoolbook"/>
        </w:rPr>
        <w:t xml:space="preserve">the ban </w:t>
      </w:r>
      <w:r w:rsidR="009D7FD2">
        <w:rPr>
          <w:rFonts w:ascii="Century Schoolbook" w:hAnsi="Century Schoolbook"/>
        </w:rPr>
        <w:t xml:space="preserve">on possession of a firearm by a person subject to a </w:t>
      </w:r>
      <w:r w:rsidR="003D2066">
        <w:rPr>
          <w:rFonts w:ascii="Century Schoolbook" w:hAnsi="Century Schoolbook"/>
        </w:rPr>
        <w:t xml:space="preserve">domestic violence protection order </w:t>
      </w:r>
      <w:r w:rsidR="00E03CEE">
        <w:rPr>
          <w:rFonts w:ascii="Century Schoolbook" w:hAnsi="Century Schoolbook"/>
        </w:rPr>
        <w:t xml:space="preserve">under 18 </w:t>
      </w:r>
      <w:r w:rsidR="00E03CEE" w:rsidRPr="00C03B3A">
        <w:rPr>
          <w:rFonts w:ascii="Century Schoolbook" w:hAnsi="Century Schoolbook"/>
        </w:rPr>
        <w:t>U.S.C. §92</w:t>
      </w:r>
      <w:r w:rsidR="00E03CEE">
        <w:rPr>
          <w:rFonts w:ascii="Century Schoolbook" w:hAnsi="Century Schoolbook"/>
        </w:rPr>
        <w:t>2(g)</w:t>
      </w:r>
      <w:r w:rsidR="009D7FD2">
        <w:rPr>
          <w:rFonts w:ascii="Century Schoolbook" w:hAnsi="Century Schoolbook"/>
        </w:rPr>
        <w:t>(8)(C)(</w:t>
      </w:r>
      <w:proofErr w:type="spellStart"/>
      <w:r w:rsidR="009D7FD2">
        <w:rPr>
          <w:rFonts w:ascii="Century Schoolbook" w:hAnsi="Century Schoolbook"/>
        </w:rPr>
        <w:t>i</w:t>
      </w:r>
      <w:proofErr w:type="spellEnd"/>
      <w:r w:rsidR="009D7FD2">
        <w:rPr>
          <w:rFonts w:ascii="Century Schoolbook" w:hAnsi="Century Schoolbook"/>
        </w:rPr>
        <w:t>)</w:t>
      </w:r>
      <w:r w:rsidR="003D2066">
        <w:rPr>
          <w:rFonts w:ascii="Century Schoolbook" w:hAnsi="Century Schoolbook"/>
        </w:rPr>
        <w:t xml:space="preserve">. This case is discussed further below </w:t>
      </w:r>
      <w:r w:rsidR="00BA0344">
        <w:rPr>
          <w:rFonts w:ascii="Century Schoolbook" w:hAnsi="Century Schoolbook"/>
        </w:rPr>
        <w:t xml:space="preserve">under restraining orders. </w:t>
      </w:r>
    </w:p>
    <w:p w14:paraId="0CA23A20" w14:textId="1D3CC2A2" w:rsidR="00041452" w:rsidRDefault="00041452" w:rsidP="00420630">
      <w:pPr>
        <w:spacing w:after="0" w:line="480" w:lineRule="auto"/>
        <w:ind w:right="360" w:firstLine="720"/>
        <w:jc w:val="center"/>
        <w:rPr>
          <w:rFonts w:ascii="Century Schoolbook" w:hAnsi="Century Schoolbook"/>
          <w:b/>
          <w:bCs/>
          <w:u w:val="single"/>
        </w:rPr>
      </w:pPr>
      <w:r>
        <w:rPr>
          <w:rFonts w:ascii="Century Schoolbook" w:hAnsi="Century Schoolbook"/>
          <w:b/>
          <w:bCs/>
          <w:i/>
          <w:iCs/>
          <w:u w:val="single"/>
        </w:rPr>
        <w:t xml:space="preserve">Wofford v. </w:t>
      </w:r>
      <w:r w:rsidRPr="0002407A">
        <w:rPr>
          <w:rFonts w:ascii="Century Schoolbook" w:hAnsi="Century Schoolbook"/>
          <w:b/>
          <w:bCs/>
          <w:u w:val="single"/>
        </w:rPr>
        <w:t>Lopez</w:t>
      </w:r>
      <w:r w:rsidR="0002407A">
        <w:rPr>
          <w:rFonts w:ascii="Century Schoolbook" w:hAnsi="Century Schoolbook"/>
          <w:b/>
          <w:bCs/>
          <w:u w:val="single"/>
        </w:rPr>
        <w:t xml:space="preserve">, </w:t>
      </w:r>
      <w:r w:rsidR="0002407A" w:rsidRPr="00234640">
        <w:rPr>
          <w:rFonts w:ascii="Century Schoolbook" w:hAnsi="Century Schoolbook"/>
          <w:b/>
          <w:bCs/>
          <w:u w:val="single"/>
        </w:rPr>
        <w:t>609 U.S. ___</w:t>
      </w:r>
      <w:r w:rsidR="00D60595">
        <w:rPr>
          <w:rFonts w:ascii="Century Schoolbook" w:hAnsi="Century Schoolbook"/>
          <w:b/>
          <w:bCs/>
          <w:u w:val="single"/>
        </w:rPr>
        <w:t xml:space="preserve">, 133 </w:t>
      </w:r>
      <w:proofErr w:type="spellStart"/>
      <w:r w:rsidR="00D60595">
        <w:rPr>
          <w:rFonts w:ascii="Century Schoolbook" w:hAnsi="Century Schoolbook"/>
          <w:b/>
          <w:bCs/>
          <w:u w:val="single"/>
        </w:rPr>
        <w:t>S.Ct</w:t>
      </w:r>
      <w:proofErr w:type="spellEnd"/>
      <w:r w:rsidR="00D60595">
        <w:rPr>
          <w:rFonts w:ascii="Century Schoolbook" w:hAnsi="Century Schoolbook"/>
          <w:b/>
          <w:bCs/>
          <w:u w:val="single"/>
        </w:rPr>
        <w:t>. 1409</w:t>
      </w:r>
      <w:r w:rsidR="0002407A" w:rsidRPr="00234640">
        <w:rPr>
          <w:rFonts w:ascii="Century Schoolbook" w:hAnsi="Century Schoolbook"/>
          <w:b/>
          <w:bCs/>
          <w:u w:val="single"/>
        </w:rPr>
        <w:t xml:space="preserve"> (2026)</w:t>
      </w:r>
    </w:p>
    <w:p w14:paraId="7CC4931E" w14:textId="77777777" w:rsidR="000D4092" w:rsidRDefault="00041452" w:rsidP="000D4092">
      <w:pPr>
        <w:spacing w:after="0" w:line="480" w:lineRule="auto"/>
        <w:ind w:right="360" w:firstLine="720"/>
        <w:rPr>
          <w:rFonts w:ascii="Century Schoolbook" w:hAnsi="Century Schoolbook"/>
        </w:rPr>
      </w:pPr>
      <w:r>
        <w:rPr>
          <w:rFonts w:ascii="Century Schoolbook" w:hAnsi="Century Schoolbook"/>
        </w:rPr>
        <w:t xml:space="preserve">The </w:t>
      </w:r>
      <w:r w:rsidR="000C2CBC">
        <w:rPr>
          <w:rFonts w:ascii="Century Schoolbook" w:hAnsi="Century Schoolbook"/>
        </w:rPr>
        <w:t xml:space="preserve">question presented in </w:t>
      </w:r>
      <w:r w:rsidR="000C2CBC">
        <w:rPr>
          <w:rFonts w:ascii="Century Schoolbook" w:hAnsi="Century Schoolbook"/>
          <w:i/>
          <w:iCs/>
        </w:rPr>
        <w:t>Wofford v. Lopez</w:t>
      </w:r>
      <w:r w:rsidR="000C2CBC">
        <w:rPr>
          <w:rFonts w:ascii="Century Schoolbook" w:hAnsi="Century Schoolbook"/>
        </w:rPr>
        <w:t xml:space="preserve"> </w:t>
      </w:r>
      <w:r w:rsidR="00234640">
        <w:rPr>
          <w:rFonts w:ascii="Century Schoolbook" w:hAnsi="Century Schoolbook"/>
        </w:rPr>
        <w:t xml:space="preserve">was whether a state may prohibit carrying firearms on </w:t>
      </w:r>
      <w:r w:rsidR="00DB21E1">
        <w:rPr>
          <w:rFonts w:ascii="Century Schoolbook" w:hAnsi="Century Schoolbook"/>
        </w:rPr>
        <w:t xml:space="preserve">private property </w:t>
      </w:r>
      <w:r w:rsidR="002B526D">
        <w:rPr>
          <w:rFonts w:ascii="Century Schoolbook" w:hAnsi="Century Schoolbook"/>
        </w:rPr>
        <w:t xml:space="preserve">without </w:t>
      </w:r>
      <w:r w:rsidR="00DB21E1">
        <w:rPr>
          <w:rFonts w:ascii="Century Schoolbook" w:hAnsi="Century Schoolbook"/>
        </w:rPr>
        <w:t xml:space="preserve">the owners’ express permission. In a 6 to 3 decision, </w:t>
      </w:r>
      <w:r w:rsidR="00D2353B">
        <w:rPr>
          <w:rFonts w:ascii="Century Schoolbook" w:hAnsi="Century Schoolbook"/>
        </w:rPr>
        <w:t>the Court concluded that a</w:t>
      </w:r>
      <w:r w:rsidR="009951CD">
        <w:rPr>
          <w:rFonts w:ascii="Century Schoolbook" w:hAnsi="Century Schoolbook"/>
        </w:rPr>
        <w:t xml:space="preserve">n individual </w:t>
      </w:r>
      <w:r w:rsidR="00D2353B">
        <w:rPr>
          <w:rFonts w:ascii="Century Schoolbook" w:hAnsi="Century Schoolbook"/>
        </w:rPr>
        <w:t xml:space="preserve">has the </w:t>
      </w:r>
      <w:r w:rsidR="00D2353B">
        <w:rPr>
          <w:rFonts w:ascii="Century Schoolbook" w:hAnsi="Century Schoolbook"/>
        </w:rPr>
        <w:lastRenderedPageBreak/>
        <w:t>right to enter private property</w:t>
      </w:r>
      <w:r w:rsidR="009951CD">
        <w:rPr>
          <w:rFonts w:ascii="Century Schoolbook" w:hAnsi="Century Schoolbook"/>
        </w:rPr>
        <w:t xml:space="preserve"> with a firearm unless </w:t>
      </w:r>
      <w:r w:rsidR="0085201C">
        <w:rPr>
          <w:rFonts w:ascii="Century Schoolbook" w:hAnsi="Century Schoolbook"/>
        </w:rPr>
        <w:t xml:space="preserve">told otherwise by the owner of the property. </w:t>
      </w:r>
      <w:r w:rsidR="009951CD">
        <w:rPr>
          <w:rFonts w:ascii="Century Schoolbook" w:hAnsi="Century Schoolbook"/>
        </w:rPr>
        <w:t xml:space="preserve"> </w:t>
      </w:r>
      <w:r w:rsidR="000F5EC7">
        <w:rPr>
          <w:rFonts w:ascii="Century Schoolbook" w:hAnsi="Century Schoolbook"/>
        </w:rPr>
        <w:t>“</w:t>
      </w:r>
      <w:r w:rsidR="00BA3D2D" w:rsidRPr="00BA3D2D">
        <w:rPr>
          <w:rFonts w:ascii="Century Schoolbook" w:hAnsi="Century Schoolbook"/>
        </w:rPr>
        <w:t xml:space="preserve">The Second Amendment cannot give way to </w:t>
      </w:r>
      <w:r w:rsidR="00D60595">
        <w:rPr>
          <w:rFonts w:ascii="Century Schoolbook" w:hAnsi="Century Schoolbook"/>
        </w:rPr>
        <w:t>‘</w:t>
      </w:r>
      <w:r w:rsidR="00BA3D2D" w:rsidRPr="00BA3D2D">
        <w:rPr>
          <w:rFonts w:ascii="Century Schoolbook" w:hAnsi="Century Schoolbook"/>
        </w:rPr>
        <w:t>the spirit of Aloha</w:t>
      </w:r>
      <w:r w:rsidR="00D60595">
        <w:rPr>
          <w:rFonts w:ascii="Century Schoolbook" w:hAnsi="Century Schoolbook"/>
        </w:rPr>
        <w:t>’</w:t>
      </w:r>
      <w:r w:rsidR="00BA3D2D" w:rsidRPr="00BA3D2D">
        <w:rPr>
          <w:rFonts w:ascii="Century Schoolbook" w:hAnsi="Century Schoolbook"/>
        </w:rPr>
        <w:t xml:space="preserve"> in Hawaii, contra, State v. Wilson, 154 Haw. 8, 27, 543 P.3d 440, 459, any more than it can yield to the spirit of the Big Apple (Bruen) or the Windy City (McDonald). Merely local attitudes can neither shrink nor inflate the meaning of fundamental Bill of Rights guarantees that apply to the States through the Fourteenth Amendment.</w:t>
      </w:r>
      <w:r w:rsidR="00D60595">
        <w:rPr>
          <w:rFonts w:ascii="Century Schoolbook" w:hAnsi="Century Schoolbook"/>
        </w:rPr>
        <w:t xml:space="preserve">” </w:t>
      </w:r>
      <w:r w:rsidR="00BA14D7" w:rsidRPr="00BA14D7">
        <w:rPr>
          <w:rFonts w:ascii="Century Schoolbook" w:hAnsi="Century Schoolbook"/>
          <w:i/>
          <w:iCs/>
        </w:rPr>
        <w:t>Wofford v. Lopez</w:t>
      </w:r>
      <w:r w:rsidR="00BA14D7" w:rsidRPr="00BA14D7">
        <w:rPr>
          <w:rFonts w:ascii="Century Schoolbook" w:hAnsi="Century Schoolbook"/>
        </w:rPr>
        <w:t xml:space="preserve">, 609 U.S. ___, 133 </w:t>
      </w:r>
      <w:proofErr w:type="spellStart"/>
      <w:r w:rsidR="00BA14D7" w:rsidRPr="00BA14D7">
        <w:rPr>
          <w:rFonts w:ascii="Century Schoolbook" w:hAnsi="Century Schoolbook"/>
        </w:rPr>
        <w:t>S.Ct</w:t>
      </w:r>
      <w:proofErr w:type="spellEnd"/>
      <w:r w:rsidR="00BA14D7" w:rsidRPr="00BA14D7">
        <w:rPr>
          <w:rFonts w:ascii="Century Schoolbook" w:hAnsi="Century Schoolbook"/>
        </w:rPr>
        <w:t>. 1409</w:t>
      </w:r>
      <w:r w:rsidR="00BA14D7">
        <w:rPr>
          <w:rFonts w:ascii="Century Schoolbook" w:hAnsi="Century Schoolbook"/>
        </w:rPr>
        <w:t xml:space="preserve"> at 2050</w:t>
      </w:r>
      <w:r w:rsidR="00BA14D7" w:rsidRPr="00BA14D7">
        <w:rPr>
          <w:rFonts w:ascii="Century Schoolbook" w:hAnsi="Century Schoolbook"/>
        </w:rPr>
        <w:t xml:space="preserve"> (2026)</w:t>
      </w:r>
      <w:r w:rsidR="00BA14D7">
        <w:rPr>
          <w:rFonts w:ascii="Century Schoolbook" w:hAnsi="Century Schoolbook"/>
        </w:rPr>
        <w:t>.</w:t>
      </w:r>
      <w:r w:rsidR="00375A92">
        <w:rPr>
          <w:rFonts w:ascii="Century Schoolbook" w:hAnsi="Century Schoolbook"/>
        </w:rPr>
        <w:tab/>
      </w:r>
      <w:r w:rsidR="00F76CD2">
        <w:rPr>
          <w:rFonts w:ascii="Century Schoolbook" w:hAnsi="Century Schoolbook"/>
        </w:rPr>
        <w:t xml:space="preserve"> </w:t>
      </w:r>
    </w:p>
    <w:p w14:paraId="7F6658F3" w14:textId="60B0E16A" w:rsidR="00597E77" w:rsidRDefault="00C03B3A" w:rsidP="000D4092">
      <w:pPr>
        <w:spacing w:after="0" w:line="480" w:lineRule="auto"/>
        <w:ind w:right="360" w:firstLine="720"/>
        <w:jc w:val="center"/>
        <w:rPr>
          <w:rFonts w:ascii="Century Schoolbook" w:hAnsi="Century Schoolbook"/>
          <w:b/>
          <w:bCs/>
          <w:u w:val="single"/>
        </w:rPr>
      </w:pPr>
      <w:r>
        <w:rPr>
          <w:rFonts w:ascii="Century Schoolbook" w:hAnsi="Century Schoolbook"/>
          <w:b/>
          <w:bCs/>
          <w:u w:val="single"/>
        </w:rPr>
        <w:t xml:space="preserve">Federally </w:t>
      </w:r>
      <w:r w:rsidR="00597E77">
        <w:rPr>
          <w:rFonts w:ascii="Century Schoolbook" w:hAnsi="Century Schoolbook"/>
          <w:b/>
          <w:bCs/>
          <w:u w:val="single"/>
        </w:rPr>
        <w:t>Prohibited Persons</w:t>
      </w:r>
    </w:p>
    <w:p w14:paraId="5DEA39F6" w14:textId="77777777" w:rsidR="004F32DE" w:rsidRPr="00534730" w:rsidRDefault="004F32DE" w:rsidP="004F32DE">
      <w:pPr>
        <w:tabs>
          <w:tab w:val="left" w:pos="720"/>
          <w:tab w:val="center" w:pos="4680"/>
        </w:tabs>
        <w:spacing w:after="0" w:line="240" w:lineRule="auto"/>
        <w:rPr>
          <w:rFonts w:ascii="Century Schoolbook" w:hAnsi="Century Schoolbook"/>
          <w:b/>
          <w:bCs/>
        </w:rPr>
      </w:pPr>
    </w:p>
    <w:p w14:paraId="2AD76C18" w14:textId="58F7B2EC" w:rsidR="00597E77" w:rsidRDefault="00C03B3A" w:rsidP="00597E77">
      <w:pPr>
        <w:spacing w:after="0" w:line="480" w:lineRule="auto"/>
        <w:ind w:firstLine="720"/>
        <w:rPr>
          <w:rFonts w:ascii="Century Schoolbook" w:hAnsi="Century Schoolbook"/>
        </w:rPr>
      </w:pPr>
      <w:r>
        <w:rPr>
          <w:rFonts w:ascii="Century Schoolbook" w:hAnsi="Century Schoolbook"/>
        </w:rPr>
        <w:t xml:space="preserve">Any discussion of the impact of criminal convictions on an individual’s firearms rights must necessarily </w:t>
      </w:r>
      <w:r w:rsidR="0069019D">
        <w:rPr>
          <w:rFonts w:ascii="Century Schoolbook" w:hAnsi="Century Schoolbook"/>
        </w:rPr>
        <w:t>include</w:t>
      </w:r>
      <w:r>
        <w:rPr>
          <w:rFonts w:ascii="Century Schoolbook" w:hAnsi="Century Schoolbook"/>
        </w:rPr>
        <w:t xml:space="preserve"> the concept of “Prohibited Persons.” The Gun Control Act (GCA), codified at 18 </w:t>
      </w:r>
      <w:r w:rsidRPr="00C03B3A">
        <w:rPr>
          <w:rFonts w:ascii="Century Schoolbook" w:hAnsi="Century Schoolbook"/>
        </w:rPr>
        <w:t>U.S.C. §</w:t>
      </w:r>
      <w:r w:rsidR="009B79B4" w:rsidRPr="00C03B3A">
        <w:rPr>
          <w:rFonts w:ascii="Century Schoolbook" w:hAnsi="Century Schoolbook"/>
        </w:rPr>
        <w:t>§</w:t>
      </w:r>
      <w:r w:rsidRPr="00C03B3A">
        <w:rPr>
          <w:rFonts w:ascii="Century Schoolbook" w:hAnsi="Century Schoolbook"/>
        </w:rPr>
        <w:t>92</w:t>
      </w:r>
      <w:r w:rsidR="009B79B4">
        <w:rPr>
          <w:rFonts w:ascii="Century Schoolbook" w:hAnsi="Century Schoolbook"/>
        </w:rPr>
        <w:t>1-931</w:t>
      </w:r>
      <w:r>
        <w:rPr>
          <w:rFonts w:ascii="Century Schoolbook" w:hAnsi="Century Schoolbook"/>
        </w:rPr>
        <w:t xml:space="preserve"> makes it unlawful for certain categories of persons to ship, transport, receive, or possess firearms or ammunition. </w:t>
      </w:r>
      <w:r w:rsidR="00E572D4">
        <w:rPr>
          <w:rFonts w:ascii="Century Schoolbook" w:hAnsi="Century Schoolbook"/>
        </w:rPr>
        <w:t xml:space="preserve">Under 18 </w:t>
      </w:r>
      <w:r w:rsidR="00E572D4" w:rsidRPr="00C03B3A">
        <w:rPr>
          <w:rFonts w:ascii="Century Schoolbook" w:hAnsi="Century Schoolbook"/>
        </w:rPr>
        <w:t>U.S.C. §92</w:t>
      </w:r>
      <w:r w:rsidR="009E0E44">
        <w:rPr>
          <w:rFonts w:ascii="Century Schoolbook" w:hAnsi="Century Schoolbook"/>
        </w:rPr>
        <w:t>2(g)</w:t>
      </w:r>
      <w:r w:rsidR="00E572D4">
        <w:rPr>
          <w:rFonts w:ascii="Century Schoolbook" w:hAnsi="Century Schoolbook"/>
        </w:rPr>
        <w:t xml:space="preserve"> </w:t>
      </w:r>
      <w:r>
        <w:rPr>
          <w:rFonts w:ascii="Century Schoolbook" w:hAnsi="Century Schoolbook"/>
        </w:rPr>
        <w:t>These categories are as follows:</w:t>
      </w:r>
    </w:p>
    <w:p w14:paraId="5067F63A" w14:textId="77777777" w:rsidR="000340D4" w:rsidRDefault="00597E77" w:rsidP="000340D4">
      <w:pPr>
        <w:spacing w:after="0" w:line="240" w:lineRule="auto"/>
        <w:ind w:firstLine="720"/>
        <w:rPr>
          <w:rFonts w:ascii="Century Schoolbook" w:hAnsi="Century Schoolbook"/>
        </w:rPr>
      </w:pPr>
      <w:r w:rsidRPr="00B61B3D">
        <w:rPr>
          <w:rFonts w:ascii="Century Schoolbook" w:hAnsi="Century Schoolbook"/>
        </w:rPr>
        <w:t>It shall be unlawful for any person:</w:t>
      </w:r>
    </w:p>
    <w:p w14:paraId="3A57A089" w14:textId="77777777" w:rsidR="0093123D" w:rsidRDefault="0093123D" w:rsidP="000340D4">
      <w:pPr>
        <w:spacing w:after="0" w:line="240" w:lineRule="auto"/>
        <w:ind w:firstLine="720"/>
        <w:rPr>
          <w:rFonts w:ascii="Century Schoolbook" w:hAnsi="Century Schoolbook"/>
        </w:rPr>
      </w:pPr>
    </w:p>
    <w:p w14:paraId="4DC10F58" w14:textId="77777777" w:rsidR="000340D4" w:rsidRDefault="00597E77" w:rsidP="000340D4">
      <w:pPr>
        <w:pStyle w:val="ListParagraph"/>
        <w:numPr>
          <w:ilvl w:val="0"/>
          <w:numId w:val="1"/>
        </w:numPr>
        <w:spacing w:after="0" w:line="240" w:lineRule="auto"/>
        <w:rPr>
          <w:rFonts w:ascii="Century Schoolbook" w:hAnsi="Century Schoolbook"/>
        </w:rPr>
      </w:pPr>
      <w:r w:rsidRPr="000340D4">
        <w:rPr>
          <w:rFonts w:ascii="Century Schoolbook" w:hAnsi="Century Schoolbook"/>
        </w:rPr>
        <w:t xml:space="preserve">who has been convicted in any court </w:t>
      </w:r>
      <w:r w:rsidR="00C03B3A" w:rsidRPr="000340D4">
        <w:rPr>
          <w:rFonts w:ascii="Century Schoolbook" w:hAnsi="Century Schoolbook"/>
        </w:rPr>
        <w:t>of</w:t>
      </w:r>
      <w:r w:rsidRPr="000340D4">
        <w:rPr>
          <w:rFonts w:ascii="Century Schoolbook" w:hAnsi="Century Schoolbook"/>
        </w:rPr>
        <w:t xml:space="preserve"> a crime punishable by imprisonment for a term exceeding one year;</w:t>
      </w:r>
    </w:p>
    <w:p w14:paraId="71595995" w14:textId="77777777" w:rsidR="0093123D" w:rsidRDefault="0093123D" w:rsidP="0093123D">
      <w:pPr>
        <w:pStyle w:val="ListParagraph"/>
        <w:spacing w:after="0" w:line="240" w:lineRule="auto"/>
        <w:ind w:left="1080"/>
        <w:rPr>
          <w:rFonts w:ascii="Century Schoolbook" w:hAnsi="Century Schoolbook"/>
        </w:rPr>
      </w:pPr>
    </w:p>
    <w:p w14:paraId="17A2A7EF" w14:textId="77777777" w:rsidR="000340D4" w:rsidRDefault="00597E77" w:rsidP="000340D4">
      <w:pPr>
        <w:pStyle w:val="ListParagraph"/>
        <w:numPr>
          <w:ilvl w:val="0"/>
          <w:numId w:val="1"/>
        </w:numPr>
        <w:spacing w:after="0" w:line="240" w:lineRule="auto"/>
        <w:rPr>
          <w:rFonts w:ascii="Century Schoolbook" w:hAnsi="Century Schoolbook"/>
        </w:rPr>
      </w:pPr>
      <w:r w:rsidRPr="000340D4">
        <w:rPr>
          <w:rFonts w:ascii="Century Schoolbook" w:hAnsi="Century Schoolbook"/>
        </w:rPr>
        <w:t>who is a fugitive from justice;</w:t>
      </w:r>
    </w:p>
    <w:p w14:paraId="49AB59F3" w14:textId="77777777" w:rsidR="0093123D" w:rsidRDefault="0093123D" w:rsidP="0093123D">
      <w:pPr>
        <w:pStyle w:val="ListParagraph"/>
        <w:spacing w:after="0" w:line="240" w:lineRule="auto"/>
        <w:ind w:left="1080"/>
        <w:rPr>
          <w:rFonts w:ascii="Century Schoolbook" w:hAnsi="Century Schoolbook"/>
        </w:rPr>
      </w:pPr>
    </w:p>
    <w:p w14:paraId="4D459628" w14:textId="77777777" w:rsidR="000340D4" w:rsidRDefault="00597E77" w:rsidP="000340D4">
      <w:pPr>
        <w:pStyle w:val="ListParagraph"/>
        <w:numPr>
          <w:ilvl w:val="0"/>
          <w:numId w:val="1"/>
        </w:numPr>
        <w:spacing w:after="0" w:line="240" w:lineRule="auto"/>
        <w:rPr>
          <w:rFonts w:ascii="Century Schoolbook" w:hAnsi="Century Schoolbook"/>
        </w:rPr>
      </w:pPr>
      <w:r w:rsidRPr="000340D4">
        <w:rPr>
          <w:rFonts w:ascii="Century Schoolbook" w:hAnsi="Century Schoolbook"/>
        </w:rPr>
        <w:t>who is an unlawful user of or addicted to any controlled substance (as defined in section 102 of the Controlled Substances Act (</w:t>
      </w:r>
      <w:hyperlink r:id="rId11" w:history="1">
        <w:r w:rsidRPr="000340D4">
          <w:rPr>
            <w:rStyle w:val="Hyperlink"/>
            <w:rFonts w:ascii="Century Schoolbook" w:hAnsi="Century Schoolbook"/>
          </w:rPr>
          <w:t>21 U.S.C. §802</w:t>
        </w:r>
      </w:hyperlink>
      <w:r w:rsidRPr="000340D4">
        <w:rPr>
          <w:rFonts w:ascii="Century Schoolbook" w:hAnsi="Century Schoolbook"/>
        </w:rPr>
        <w:t>));</w:t>
      </w:r>
    </w:p>
    <w:p w14:paraId="0A21F306" w14:textId="77777777" w:rsidR="0093123D" w:rsidRPr="0093123D" w:rsidRDefault="0093123D" w:rsidP="0093123D">
      <w:pPr>
        <w:spacing w:after="0" w:line="240" w:lineRule="auto"/>
        <w:rPr>
          <w:rFonts w:ascii="Century Schoolbook" w:hAnsi="Century Schoolbook"/>
        </w:rPr>
      </w:pPr>
    </w:p>
    <w:p w14:paraId="195CC53F" w14:textId="77777777" w:rsidR="000340D4" w:rsidRDefault="00597E77" w:rsidP="000340D4">
      <w:pPr>
        <w:pStyle w:val="ListParagraph"/>
        <w:numPr>
          <w:ilvl w:val="0"/>
          <w:numId w:val="1"/>
        </w:numPr>
        <w:spacing w:after="0" w:line="240" w:lineRule="auto"/>
        <w:rPr>
          <w:rFonts w:ascii="Century Schoolbook" w:hAnsi="Century Schoolbook"/>
        </w:rPr>
      </w:pPr>
      <w:r w:rsidRPr="000340D4">
        <w:rPr>
          <w:rFonts w:ascii="Century Schoolbook" w:hAnsi="Century Schoolbook"/>
        </w:rPr>
        <w:t>who has been adjudicated as a mental defective or who has been committed to a mental institution;</w:t>
      </w:r>
    </w:p>
    <w:p w14:paraId="316BAB52" w14:textId="77777777" w:rsidR="0093123D" w:rsidRPr="0093123D" w:rsidRDefault="0093123D" w:rsidP="0093123D">
      <w:pPr>
        <w:spacing w:after="0" w:line="240" w:lineRule="auto"/>
        <w:rPr>
          <w:rFonts w:ascii="Century Schoolbook" w:hAnsi="Century Schoolbook"/>
        </w:rPr>
      </w:pPr>
    </w:p>
    <w:p w14:paraId="3BDC0002" w14:textId="675740C5" w:rsidR="00597E77" w:rsidRPr="000340D4" w:rsidRDefault="00597E77" w:rsidP="000340D4">
      <w:pPr>
        <w:pStyle w:val="ListParagraph"/>
        <w:numPr>
          <w:ilvl w:val="0"/>
          <w:numId w:val="1"/>
        </w:numPr>
        <w:spacing w:after="0" w:line="240" w:lineRule="auto"/>
        <w:rPr>
          <w:rFonts w:ascii="Century Schoolbook" w:hAnsi="Century Schoolbook"/>
        </w:rPr>
      </w:pPr>
      <w:r w:rsidRPr="000340D4">
        <w:rPr>
          <w:rFonts w:ascii="Century Schoolbook" w:hAnsi="Century Schoolbook"/>
        </w:rPr>
        <w:t>who, being an alien—</w:t>
      </w:r>
    </w:p>
    <w:p w14:paraId="01F929DE" w14:textId="77777777" w:rsidR="00597E77" w:rsidRPr="006A511A" w:rsidRDefault="00597E77" w:rsidP="000340D4">
      <w:pPr>
        <w:pStyle w:val="ListParagraph"/>
        <w:spacing w:line="240" w:lineRule="auto"/>
        <w:rPr>
          <w:rFonts w:ascii="Century Schoolbook" w:hAnsi="Century Schoolbook"/>
        </w:rPr>
      </w:pPr>
    </w:p>
    <w:p w14:paraId="4EC7D4A8" w14:textId="77777777" w:rsidR="00597E77" w:rsidRDefault="00597E77" w:rsidP="000340D4">
      <w:pPr>
        <w:pStyle w:val="ListParagraph"/>
        <w:numPr>
          <w:ilvl w:val="1"/>
          <w:numId w:val="1"/>
        </w:numPr>
        <w:spacing w:after="0" w:line="240" w:lineRule="auto"/>
        <w:ind w:right="720"/>
        <w:rPr>
          <w:rFonts w:ascii="Century Schoolbook" w:hAnsi="Century Schoolbook"/>
        </w:rPr>
      </w:pPr>
      <w:r w:rsidRPr="006A511A">
        <w:rPr>
          <w:rFonts w:ascii="Century Schoolbook" w:hAnsi="Century Schoolbook"/>
        </w:rPr>
        <w:lastRenderedPageBreak/>
        <w:t>is illegally or unlawfully in the United States; or</w:t>
      </w:r>
    </w:p>
    <w:p w14:paraId="633614E9" w14:textId="77777777" w:rsidR="00597E77" w:rsidRDefault="00597E77" w:rsidP="000340D4">
      <w:pPr>
        <w:pStyle w:val="ListParagraph"/>
        <w:spacing w:after="0" w:line="240" w:lineRule="auto"/>
        <w:ind w:left="1800" w:right="720"/>
        <w:rPr>
          <w:rFonts w:ascii="Century Schoolbook" w:hAnsi="Century Schoolbook"/>
        </w:rPr>
      </w:pPr>
    </w:p>
    <w:p w14:paraId="001AE3B9" w14:textId="77777777" w:rsidR="000340D4" w:rsidRDefault="00597E77" w:rsidP="000340D4">
      <w:pPr>
        <w:pStyle w:val="ListParagraph"/>
        <w:numPr>
          <w:ilvl w:val="1"/>
          <w:numId w:val="1"/>
        </w:numPr>
        <w:spacing w:after="0" w:line="240" w:lineRule="auto"/>
        <w:ind w:right="720"/>
        <w:rPr>
          <w:rFonts w:ascii="Century Schoolbook" w:hAnsi="Century Schoolbook"/>
        </w:rPr>
      </w:pPr>
      <w:r w:rsidRPr="006A511A">
        <w:rPr>
          <w:rFonts w:ascii="Century Schoolbook" w:hAnsi="Century Schoolbook"/>
        </w:rPr>
        <w:t>except as provided in subsection (y)(2), has been admitted to the United States under a nonimmigrant visa (as that term is defined in section 101(a)(26) of the Immigration and Nationality Act (</w:t>
      </w:r>
      <w:hyperlink r:id="rId12" w:anchor="co_pp_923e00009a834" w:history="1">
        <w:r w:rsidRPr="006A511A">
          <w:rPr>
            <w:rStyle w:val="Hyperlink"/>
            <w:rFonts w:ascii="Century Schoolbook" w:hAnsi="Century Schoolbook"/>
          </w:rPr>
          <w:t>8 U.S.C. §1101(a)(26)</w:t>
        </w:r>
      </w:hyperlink>
      <w:r w:rsidRPr="006A511A">
        <w:rPr>
          <w:rFonts w:ascii="Century Schoolbook" w:hAnsi="Century Schoolbook"/>
        </w:rPr>
        <w:t>));</w:t>
      </w:r>
    </w:p>
    <w:p w14:paraId="229ED24D" w14:textId="77777777" w:rsidR="000340D4" w:rsidRPr="000340D4" w:rsidRDefault="000340D4" w:rsidP="000340D4">
      <w:pPr>
        <w:pStyle w:val="ListParagraph"/>
        <w:spacing w:line="240" w:lineRule="auto"/>
        <w:rPr>
          <w:rFonts w:ascii="Century Schoolbook" w:hAnsi="Century Schoolbook"/>
        </w:rPr>
      </w:pPr>
    </w:p>
    <w:p w14:paraId="11324E41" w14:textId="77777777" w:rsidR="000340D4" w:rsidRDefault="00597E77" w:rsidP="000340D4">
      <w:pPr>
        <w:pStyle w:val="ListParagraph"/>
        <w:numPr>
          <w:ilvl w:val="0"/>
          <w:numId w:val="1"/>
        </w:numPr>
        <w:spacing w:after="0" w:line="240" w:lineRule="auto"/>
        <w:ind w:right="720"/>
        <w:rPr>
          <w:rFonts w:ascii="Century Schoolbook" w:hAnsi="Century Schoolbook"/>
        </w:rPr>
      </w:pPr>
      <w:r w:rsidRPr="000340D4">
        <w:rPr>
          <w:rFonts w:ascii="Century Schoolbook" w:hAnsi="Century Schoolbook"/>
        </w:rPr>
        <w:t>who has been discharged from the Armed Forces under dishonorable conditions;</w:t>
      </w:r>
    </w:p>
    <w:p w14:paraId="1B91605C" w14:textId="77777777" w:rsidR="000340D4" w:rsidRDefault="000340D4" w:rsidP="000340D4">
      <w:pPr>
        <w:pStyle w:val="ListParagraph"/>
        <w:spacing w:after="0" w:line="240" w:lineRule="auto"/>
        <w:ind w:left="1080" w:right="720"/>
        <w:rPr>
          <w:rFonts w:ascii="Century Schoolbook" w:hAnsi="Century Schoolbook"/>
        </w:rPr>
      </w:pPr>
    </w:p>
    <w:p w14:paraId="14735CE8" w14:textId="77777777" w:rsidR="0093123D" w:rsidRDefault="00597E77" w:rsidP="0093123D">
      <w:pPr>
        <w:pStyle w:val="ListParagraph"/>
        <w:numPr>
          <w:ilvl w:val="0"/>
          <w:numId w:val="1"/>
        </w:numPr>
        <w:spacing w:after="0" w:line="240" w:lineRule="auto"/>
        <w:ind w:right="720"/>
        <w:rPr>
          <w:rFonts w:ascii="Century Schoolbook" w:hAnsi="Century Schoolbook"/>
        </w:rPr>
      </w:pPr>
      <w:r w:rsidRPr="000340D4">
        <w:rPr>
          <w:rFonts w:ascii="Century Schoolbook" w:hAnsi="Century Schoolbook"/>
        </w:rPr>
        <w:t>who, having been a citizen of the United States, has renounced his citizenship;</w:t>
      </w:r>
    </w:p>
    <w:p w14:paraId="28BFE8EE" w14:textId="77777777" w:rsidR="0093123D" w:rsidRPr="0093123D" w:rsidRDefault="0093123D" w:rsidP="0093123D">
      <w:pPr>
        <w:pStyle w:val="ListParagraph"/>
        <w:rPr>
          <w:rFonts w:ascii="Century Schoolbook" w:hAnsi="Century Schoolbook"/>
        </w:rPr>
      </w:pPr>
    </w:p>
    <w:p w14:paraId="3553B5AF" w14:textId="0279C47B" w:rsidR="00597E77" w:rsidRPr="0093123D" w:rsidRDefault="00597E77" w:rsidP="0093123D">
      <w:pPr>
        <w:pStyle w:val="ListParagraph"/>
        <w:numPr>
          <w:ilvl w:val="0"/>
          <w:numId w:val="1"/>
        </w:numPr>
        <w:spacing w:after="0" w:line="240" w:lineRule="auto"/>
        <w:ind w:right="720"/>
        <w:rPr>
          <w:rFonts w:ascii="Century Schoolbook" w:hAnsi="Century Schoolbook"/>
        </w:rPr>
      </w:pPr>
      <w:r w:rsidRPr="0093123D">
        <w:rPr>
          <w:rFonts w:ascii="Century Schoolbook" w:hAnsi="Century Schoolbook"/>
        </w:rPr>
        <w:t>who is subject to a court order that—</w:t>
      </w:r>
    </w:p>
    <w:p w14:paraId="676DD4DC" w14:textId="77777777" w:rsidR="00597E77" w:rsidRPr="006A511A" w:rsidRDefault="00597E77" w:rsidP="000340D4">
      <w:pPr>
        <w:pStyle w:val="ListParagraph"/>
        <w:spacing w:line="240" w:lineRule="auto"/>
        <w:rPr>
          <w:rFonts w:ascii="Century Schoolbook" w:hAnsi="Century Schoolbook"/>
        </w:rPr>
      </w:pPr>
    </w:p>
    <w:p w14:paraId="7B8BF766" w14:textId="77777777" w:rsidR="00597E77" w:rsidRDefault="00597E77" w:rsidP="000340D4">
      <w:pPr>
        <w:pStyle w:val="ListParagraph"/>
        <w:numPr>
          <w:ilvl w:val="1"/>
          <w:numId w:val="1"/>
        </w:numPr>
        <w:spacing w:after="0" w:line="240" w:lineRule="auto"/>
        <w:ind w:right="720"/>
        <w:rPr>
          <w:rFonts w:ascii="Century Schoolbook" w:hAnsi="Century Schoolbook"/>
        </w:rPr>
      </w:pPr>
      <w:r w:rsidRPr="006A511A">
        <w:rPr>
          <w:rFonts w:ascii="Century Schoolbook" w:hAnsi="Century Schoolbook"/>
        </w:rPr>
        <w:t>was issued after a hearing of which such person received actual notice, and at which such person had an opportunity to participate;</w:t>
      </w:r>
    </w:p>
    <w:p w14:paraId="439F1172" w14:textId="77777777" w:rsidR="00597E77" w:rsidRDefault="00597E77" w:rsidP="000340D4">
      <w:pPr>
        <w:pStyle w:val="ListParagraph"/>
        <w:spacing w:after="0" w:line="240" w:lineRule="auto"/>
        <w:ind w:left="1800" w:right="720"/>
        <w:rPr>
          <w:rFonts w:ascii="Century Schoolbook" w:hAnsi="Century Schoolbook"/>
        </w:rPr>
      </w:pPr>
    </w:p>
    <w:p w14:paraId="486D12F6" w14:textId="77777777" w:rsidR="00597E77" w:rsidRDefault="00597E77" w:rsidP="000340D4">
      <w:pPr>
        <w:pStyle w:val="ListParagraph"/>
        <w:numPr>
          <w:ilvl w:val="1"/>
          <w:numId w:val="1"/>
        </w:numPr>
        <w:spacing w:after="0" w:line="240" w:lineRule="auto"/>
        <w:ind w:right="720"/>
        <w:rPr>
          <w:rFonts w:ascii="Century Schoolbook" w:hAnsi="Century Schoolbook"/>
        </w:rPr>
      </w:pPr>
      <w:r w:rsidRPr="006A511A">
        <w:rPr>
          <w:rFonts w:ascii="Century Schoolbook" w:hAnsi="Century Schoolbook"/>
        </w:rPr>
        <w:t>restrains such person from harassing, stalking, or threatening an intimate partner of such person or child of such intimate partner or person, or engaging in other conduct that would place an intimate partner in reasonable fear of bodily injury to the partner or child; and</w:t>
      </w:r>
    </w:p>
    <w:p w14:paraId="1B7D4B53" w14:textId="77777777" w:rsidR="00597E77" w:rsidRPr="006A511A" w:rsidRDefault="00597E77" w:rsidP="000340D4">
      <w:pPr>
        <w:pStyle w:val="ListParagraph"/>
        <w:spacing w:line="240" w:lineRule="auto"/>
        <w:rPr>
          <w:rFonts w:ascii="Century Schoolbook" w:hAnsi="Century Schoolbook"/>
        </w:rPr>
      </w:pPr>
    </w:p>
    <w:p w14:paraId="1D897D36" w14:textId="77777777" w:rsidR="0093123D" w:rsidRDefault="00597E77" w:rsidP="0093123D">
      <w:pPr>
        <w:pStyle w:val="ListParagraph"/>
        <w:numPr>
          <w:ilvl w:val="1"/>
          <w:numId w:val="1"/>
        </w:numPr>
        <w:spacing w:after="0" w:line="240" w:lineRule="auto"/>
        <w:ind w:right="720"/>
        <w:rPr>
          <w:rFonts w:ascii="Century Schoolbook" w:hAnsi="Century Schoolbook"/>
        </w:rPr>
      </w:pPr>
      <w:r w:rsidRPr="006A511A">
        <w:rPr>
          <w:rFonts w:ascii="Century Schoolbook" w:hAnsi="Century Schoolbook"/>
        </w:rPr>
        <w:t>(</w:t>
      </w:r>
      <w:proofErr w:type="spellStart"/>
      <w:r w:rsidRPr="006A511A">
        <w:rPr>
          <w:rFonts w:ascii="Century Schoolbook" w:hAnsi="Century Schoolbook"/>
        </w:rPr>
        <w:t>i</w:t>
      </w:r>
      <w:proofErr w:type="spellEnd"/>
      <w:r w:rsidRPr="006A511A">
        <w:rPr>
          <w:rFonts w:ascii="Century Schoolbook" w:hAnsi="Century Schoolbook"/>
        </w:rPr>
        <w:t>) includes a finding that such person represents a credible threat to the physical safety of such intimate partner or child; or (ii) by its terms explicitly prohibits the use, attempted use, or threatened use of physical force against such intimate partner or child that would reasonably be expected to cause bodily injury; or</w:t>
      </w:r>
    </w:p>
    <w:p w14:paraId="3E9554E9" w14:textId="77777777" w:rsidR="0093123D" w:rsidRPr="0093123D" w:rsidRDefault="0093123D" w:rsidP="0093123D">
      <w:pPr>
        <w:pStyle w:val="ListParagraph"/>
        <w:rPr>
          <w:rFonts w:ascii="Century Schoolbook" w:hAnsi="Century Schoolbook"/>
        </w:rPr>
      </w:pPr>
    </w:p>
    <w:p w14:paraId="327E3503" w14:textId="2C8C4D98" w:rsidR="00597E77" w:rsidRPr="0093123D" w:rsidRDefault="00597E77" w:rsidP="0093123D">
      <w:pPr>
        <w:pStyle w:val="ListParagraph"/>
        <w:numPr>
          <w:ilvl w:val="0"/>
          <w:numId w:val="1"/>
        </w:numPr>
        <w:spacing w:after="0" w:line="240" w:lineRule="auto"/>
        <w:ind w:right="720"/>
        <w:rPr>
          <w:rFonts w:ascii="Century Schoolbook" w:hAnsi="Century Schoolbook"/>
        </w:rPr>
      </w:pPr>
      <w:r w:rsidRPr="0093123D">
        <w:rPr>
          <w:rFonts w:ascii="Century Schoolbook" w:hAnsi="Century Schoolbook"/>
        </w:rPr>
        <w:t>who has been convicted in any court of a misdemeanor crime of domestic violence,</w:t>
      </w:r>
    </w:p>
    <w:p w14:paraId="2EC470C8" w14:textId="77777777" w:rsidR="00597E77" w:rsidRPr="005954A0" w:rsidRDefault="00597E77" w:rsidP="000340D4">
      <w:pPr>
        <w:spacing w:after="0" w:line="240" w:lineRule="auto"/>
        <w:ind w:left="720" w:right="720"/>
        <w:rPr>
          <w:rFonts w:ascii="Century Schoolbook" w:hAnsi="Century Schoolbook"/>
        </w:rPr>
      </w:pPr>
    </w:p>
    <w:p w14:paraId="41278771" w14:textId="77777777" w:rsidR="00597E77" w:rsidRDefault="00597E77" w:rsidP="000340D4">
      <w:pPr>
        <w:spacing w:after="0" w:line="240" w:lineRule="auto"/>
        <w:ind w:left="720" w:right="720"/>
        <w:rPr>
          <w:rFonts w:ascii="Century Schoolbook" w:hAnsi="Century Schoolbook"/>
        </w:rPr>
      </w:pPr>
      <w:r w:rsidRPr="00F92DE7">
        <w:rPr>
          <w:rFonts w:ascii="Century Schoolbook" w:hAnsi="Century Schoolbook"/>
        </w:rPr>
        <w:t>to ship or transport in interstate or foreign commerce, or possess in or affecting commerce, any firearm or ammunition; or to receive any firearm or ammunition which has been shipped or transported in interstate or foreign commerce.</w:t>
      </w:r>
    </w:p>
    <w:p w14:paraId="7C6C474E" w14:textId="77777777" w:rsidR="00420630" w:rsidRDefault="00420630" w:rsidP="000340D4">
      <w:pPr>
        <w:spacing w:after="0" w:line="240" w:lineRule="auto"/>
        <w:ind w:left="720" w:right="720"/>
        <w:rPr>
          <w:rFonts w:ascii="Century Schoolbook" w:hAnsi="Century Schoolbook"/>
        </w:rPr>
      </w:pPr>
    </w:p>
    <w:p w14:paraId="3699FB0A" w14:textId="77777777" w:rsidR="00420630" w:rsidRDefault="00420630" w:rsidP="000340D4">
      <w:pPr>
        <w:spacing w:after="0" w:line="240" w:lineRule="auto"/>
        <w:ind w:left="720" w:right="720"/>
        <w:rPr>
          <w:rFonts w:ascii="Century Schoolbook" w:hAnsi="Century Schoolbook"/>
        </w:rPr>
      </w:pPr>
    </w:p>
    <w:p w14:paraId="5E8A6C20" w14:textId="77777777" w:rsidR="00420630" w:rsidRDefault="00420630" w:rsidP="000340D4">
      <w:pPr>
        <w:spacing w:after="0" w:line="240" w:lineRule="auto"/>
        <w:ind w:left="720" w:right="720"/>
        <w:rPr>
          <w:rFonts w:ascii="Century Schoolbook" w:hAnsi="Century Schoolbook"/>
        </w:rPr>
      </w:pPr>
    </w:p>
    <w:p w14:paraId="10FFF1EE" w14:textId="77777777" w:rsidR="00420630" w:rsidRDefault="00420630" w:rsidP="000340D4">
      <w:pPr>
        <w:spacing w:after="0" w:line="240" w:lineRule="auto"/>
        <w:ind w:left="720" w:right="720"/>
        <w:rPr>
          <w:rFonts w:ascii="Century Schoolbook" w:hAnsi="Century Schoolbook"/>
        </w:rPr>
      </w:pPr>
    </w:p>
    <w:p w14:paraId="108848F0" w14:textId="77777777" w:rsidR="0093123D" w:rsidRDefault="0093123D" w:rsidP="0093123D">
      <w:pPr>
        <w:spacing w:after="0" w:line="240" w:lineRule="auto"/>
        <w:ind w:right="720"/>
        <w:rPr>
          <w:rFonts w:ascii="Century Schoolbook" w:hAnsi="Century Schoolbook"/>
        </w:rPr>
      </w:pPr>
    </w:p>
    <w:p w14:paraId="2483CB46" w14:textId="040D7F12" w:rsidR="00597E77" w:rsidRDefault="0093123D" w:rsidP="0093123D">
      <w:pPr>
        <w:spacing w:after="0" w:line="240" w:lineRule="auto"/>
        <w:jc w:val="center"/>
        <w:rPr>
          <w:rFonts w:ascii="Century Schoolbook" w:hAnsi="Century Schoolbook"/>
        </w:rPr>
      </w:pPr>
      <w:r w:rsidRPr="0093123D">
        <w:rPr>
          <w:rFonts w:ascii="Century Schoolbook" w:hAnsi="Century Schoolbook"/>
          <w:b/>
          <w:bCs/>
          <w:u w:val="single"/>
        </w:rPr>
        <w:lastRenderedPageBreak/>
        <w:t>18 U.S.C. §922(g)</w:t>
      </w:r>
      <w:r w:rsidR="00F316FB">
        <w:rPr>
          <w:rFonts w:ascii="Century Schoolbook" w:hAnsi="Century Schoolbook"/>
          <w:b/>
          <w:bCs/>
          <w:u w:val="single"/>
        </w:rPr>
        <w:t>(1)</w:t>
      </w:r>
      <w:r>
        <w:rPr>
          <w:rFonts w:ascii="Century Schoolbook" w:hAnsi="Century Schoolbook"/>
          <w:b/>
          <w:bCs/>
          <w:u w:val="single"/>
        </w:rPr>
        <w:t xml:space="preserve"> – Felony Convictions</w:t>
      </w:r>
    </w:p>
    <w:p w14:paraId="6102FACA" w14:textId="77777777" w:rsidR="0093123D" w:rsidRDefault="0093123D" w:rsidP="0093123D">
      <w:pPr>
        <w:spacing w:after="0" w:line="240" w:lineRule="auto"/>
        <w:rPr>
          <w:rFonts w:ascii="Century Schoolbook" w:hAnsi="Century Schoolbook"/>
        </w:rPr>
      </w:pPr>
    </w:p>
    <w:p w14:paraId="146647C3" w14:textId="03C066F0" w:rsidR="0093123D" w:rsidRDefault="0093123D" w:rsidP="0093123D">
      <w:pPr>
        <w:spacing w:after="0" w:line="480" w:lineRule="auto"/>
        <w:ind w:firstLine="720"/>
        <w:rPr>
          <w:rFonts w:ascii="Century Schoolbook" w:hAnsi="Century Schoolbook"/>
        </w:rPr>
      </w:pPr>
      <w:r>
        <w:rPr>
          <w:rFonts w:ascii="Century Schoolbook" w:hAnsi="Century Schoolbook"/>
        </w:rPr>
        <w:t xml:space="preserve">Individuals </w:t>
      </w:r>
      <w:r w:rsidRPr="0093123D">
        <w:rPr>
          <w:rFonts w:ascii="Century Schoolbook" w:hAnsi="Century Schoolbook"/>
        </w:rPr>
        <w:t>who ha</w:t>
      </w:r>
      <w:r>
        <w:rPr>
          <w:rFonts w:ascii="Century Schoolbook" w:hAnsi="Century Schoolbook"/>
        </w:rPr>
        <w:t>ve</w:t>
      </w:r>
      <w:r w:rsidRPr="0093123D">
        <w:rPr>
          <w:rFonts w:ascii="Century Schoolbook" w:hAnsi="Century Schoolbook"/>
        </w:rPr>
        <w:t xml:space="preserve"> been convicted in any court of a crime punishable by imprisonment for a term exceeding one year</w:t>
      </w:r>
      <w:r>
        <w:rPr>
          <w:rFonts w:ascii="Century Schoolbook" w:hAnsi="Century Schoolbook"/>
        </w:rPr>
        <w:t xml:space="preserve"> are generally prohibited from shipping, transporting, receiving, or possessing firearms or ammunition. Some important distinctions apply.  </w:t>
      </w:r>
    </w:p>
    <w:p w14:paraId="72BC8615" w14:textId="5FAA1EC2" w:rsidR="008B3041" w:rsidRDefault="008B3041" w:rsidP="0093123D">
      <w:pPr>
        <w:spacing w:after="0" w:line="480" w:lineRule="auto"/>
        <w:ind w:firstLine="720"/>
        <w:rPr>
          <w:rFonts w:ascii="Century Schoolbook" w:hAnsi="Century Schoolbook"/>
        </w:rPr>
      </w:pPr>
      <w:r>
        <w:rPr>
          <w:rFonts w:ascii="Century Schoolbook" w:hAnsi="Century Schoolbook"/>
        </w:rPr>
        <w:t>First, the term “punishable by imprisonment for a term exceeding one year” refers to the maximum sentence which is</w:t>
      </w:r>
      <w:r w:rsidR="00F316FB">
        <w:rPr>
          <w:rFonts w:ascii="Century Schoolbook" w:hAnsi="Century Schoolbook"/>
        </w:rPr>
        <w:t xml:space="preserve"> allowed for the crime, not the sentence which is actually imposed or the maximum potential sentence which is allowed for a particular defendant under the sentencing guidelines. In other words, for the purposes of this provision, what matters is the potential maximum sentence for the offense, not the sentence which was actually imposed. This means that, even if a Defendant were sentenced to probation only, and never served a day in jail, the conviction still counts as a felony conviction under </w:t>
      </w:r>
      <w:r w:rsidR="00F316FB" w:rsidRPr="00F316FB">
        <w:rPr>
          <w:rFonts w:ascii="Century Schoolbook" w:hAnsi="Century Schoolbook"/>
        </w:rPr>
        <w:t>18 U.S.C. §922(g)</w:t>
      </w:r>
      <w:r w:rsidR="00F316FB">
        <w:rPr>
          <w:rFonts w:ascii="Century Schoolbook" w:hAnsi="Century Schoolbook"/>
        </w:rPr>
        <w:t>(1) if the maximum potential sentence was in excess of one year.</w:t>
      </w:r>
    </w:p>
    <w:p w14:paraId="4684BB8D" w14:textId="06C3749C" w:rsidR="00F316FB" w:rsidRDefault="00F316FB" w:rsidP="0093123D">
      <w:pPr>
        <w:spacing w:after="0" w:line="480" w:lineRule="auto"/>
        <w:ind w:firstLine="720"/>
        <w:rPr>
          <w:rFonts w:ascii="Century Schoolbook" w:hAnsi="Century Schoolbook"/>
        </w:rPr>
      </w:pPr>
      <w:r>
        <w:rPr>
          <w:rFonts w:ascii="Century Schoolbook" w:hAnsi="Century Schoolbook"/>
        </w:rPr>
        <w:t xml:space="preserve">However, some states have sentencing statutes under which an individual’s maximum sentence, based upon his criminal record, does not exceed one year. In </w:t>
      </w:r>
      <w:r>
        <w:rPr>
          <w:rFonts w:ascii="Century Schoolbook" w:hAnsi="Century Schoolbook"/>
          <w:i/>
          <w:iCs/>
        </w:rPr>
        <w:t>Miller v. U.S.</w:t>
      </w:r>
      <w:r>
        <w:rPr>
          <w:rFonts w:ascii="Century Schoolbook" w:hAnsi="Century Schoolbook"/>
        </w:rPr>
        <w:t xml:space="preserve">, the Fourth Circuit Court of Appeals </w:t>
      </w:r>
      <w:r w:rsidRPr="00F316FB">
        <w:rPr>
          <w:rFonts w:ascii="Century Schoolbook" w:hAnsi="Century Schoolbook"/>
        </w:rPr>
        <w:t>granted habeas relief where the defendant was convicted of a North Carolina felony offen</w:t>
      </w:r>
      <w:r>
        <w:rPr>
          <w:rFonts w:ascii="Century Schoolbook" w:hAnsi="Century Schoolbook"/>
        </w:rPr>
        <w:t>s</w:t>
      </w:r>
      <w:r w:rsidRPr="00F316FB">
        <w:rPr>
          <w:rFonts w:ascii="Century Schoolbook" w:hAnsi="Century Schoolbook"/>
        </w:rPr>
        <w:t>e for which he could not have been sentenced to more than one year, and which thus was not a sufficient predicate offense, thereby meaning that he was “actually innocent” of the § 922(g)(1) offense</w:t>
      </w:r>
      <w:r>
        <w:rPr>
          <w:rFonts w:ascii="Century Schoolbook" w:hAnsi="Century Schoolbook"/>
        </w:rPr>
        <w:t>. (</w:t>
      </w:r>
      <w:r w:rsidRPr="00F316FB">
        <w:rPr>
          <w:rFonts w:ascii="Century Schoolbook" w:hAnsi="Century Schoolbook"/>
          <w:i/>
          <w:iCs/>
        </w:rPr>
        <w:t>Miller v. U.S.</w:t>
      </w:r>
      <w:r w:rsidRPr="00F316FB">
        <w:rPr>
          <w:rFonts w:ascii="Century Schoolbook" w:hAnsi="Century Schoolbook"/>
        </w:rPr>
        <w:t>, 735 F.3d 141, 146 (4th Cir. 2013)</w:t>
      </w:r>
      <w:r>
        <w:rPr>
          <w:rFonts w:ascii="Century Schoolbook" w:hAnsi="Century Schoolbook"/>
        </w:rPr>
        <w:t>)</w:t>
      </w:r>
      <w:r w:rsidRPr="00F316FB">
        <w:rPr>
          <w:rFonts w:ascii="Century Schoolbook" w:hAnsi="Century Schoolbook"/>
        </w:rPr>
        <w:t>.</w:t>
      </w:r>
    </w:p>
    <w:p w14:paraId="448CA94F" w14:textId="4600344A" w:rsidR="00991051" w:rsidRDefault="00991051" w:rsidP="0093123D">
      <w:pPr>
        <w:spacing w:after="0" w:line="480" w:lineRule="auto"/>
        <w:ind w:firstLine="720"/>
        <w:rPr>
          <w:rFonts w:ascii="Century Schoolbook" w:hAnsi="Century Schoolbook"/>
        </w:rPr>
      </w:pPr>
      <w:r>
        <w:rPr>
          <w:rFonts w:ascii="Century Schoolbook" w:hAnsi="Century Schoolbook"/>
        </w:rPr>
        <w:lastRenderedPageBreak/>
        <w:t xml:space="preserve">Additionally, </w:t>
      </w:r>
      <w:r w:rsidRPr="00991051">
        <w:rPr>
          <w:rFonts w:ascii="Century Schoolbook" w:hAnsi="Century Schoolbook"/>
        </w:rPr>
        <w:t>18 U.S.C. §92</w:t>
      </w:r>
      <w:r>
        <w:rPr>
          <w:rFonts w:ascii="Century Schoolbook" w:hAnsi="Century Schoolbook"/>
        </w:rPr>
        <w:t>1(a)(20) states that the term “crime punishable by imprisonment for a term exceeding one year” does not include:</w:t>
      </w:r>
    </w:p>
    <w:p w14:paraId="0CCB8C5E" w14:textId="77777777" w:rsidR="00991051" w:rsidRPr="00991051" w:rsidRDefault="00991051" w:rsidP="00991051">
      <w:pPr>
        <w:pStyle w:val="ListParagraph"/>
        <w:numPr>
          <w:ilvl w:val="0"/>
          <w:numId w:val="2"/>
        </w:numPr>
        <w:spacing w:after="0" w:line="480" w:lineRule="auto"/>
        <w:rPr>
          <w:rFonts w:ascii="Century Schoolbook" w:hAnsi="Century Schoolbook"/>
        </w:rPr>
      </w:pPr>
      <w:r>
        <w:rPr>
          <w:rFonts w:ascii="Century Schoolbook" w:hAnsi="Century Schoolbook"/>
        </w:rPr>
        <w:t xml:space="preserve">Any Federal or State offenses pertaining to antitrust </w:t>
      </w:r>
      <w:r w:rsidRPr="00991051">
        <w:rPr>
          <w:rFonts w:ascii="Century Schoolbook" w:hAnsi="Century Schoolbook"/>
        </w:rPr>
        <w:t>violations, unfair trade practices, restraints of trade, or other similar offenses relating to the regulation of business practices, or</w:t>
      </w:r>
    </w:p>
    <w:p w14:paraId="77D4A2D9" w14:textId="361F6ECC" w:rsidR="00991051" w:rsidRPr="00991051" w:rsidRDefault="00991051" w:rsidP="00991051">
      <w:pPr>
        <w:pStyle w:val="ListParagraph"/>
        <w:numPr>
          <w:ilvl w:val="0"/>
          <w:numId w:val="2"/>
        </w:numPr>
        <w:spacing w:after="0" w:line="480" w:lineRule="auto"/>
        <w:rPr>
          <w:rFonts w:ascii="Century Schoolbook" w:hAnsi="Century Schoolbook"/>
        </w:rPr>
      </w:pPr>
      <w:r w:rsidRPr="00991051">
        <w:rPr>
          <w:rFonts w:ascii="Century Schoolbook" w:hAnsi="Century Schoolbook"/>
        </w:rPr>
        <w:t>any State offense classified by the laws of the State as a misdemeanor and punishable by a term of imprisonment of two years or less.</w:t>
      </w:r>
    </w:p>
    <w:p w14:paraId="69C82636" w14:textId="76BE3DC5" w:rsidR="00991051" w:rsidRDefault="00991051" w:rsidP="00991051">
      <w:pPr>
        <w:spacing w:after="0" w:line="480" w:lineRule="auto"/>
        <w:ind w:firstLine="720"/>
        <w:rPr>
          <w:rFonts w:ascii="Century Schoolbook" w:hAnsi="Century Schoolbook"/>
        </w:rPr>
      </w:pPr>
      <w:r w:rsidRPr="00991051">
        <w:rPr>
          <w:rFonts w:ascii="Century Schoolbook" w:hAnsi="Century Schoolbook"/>
        </w:rPr>
        <w:t>What constitutes a conviction of such a crime shall be determined in accordance with the law of the jurisdiction in which the proceedings were held. Any conviction which has been expunged or set aside or for which a person has been pardoned or has had civil rights restored shall not be considered a conviction for purposes of this chapter, unless such pardon, expungement, or restoration of civil rights expressly provides that the person may not ship, transport, possess, or receive firearms.</w:t>
      </w:r>
    </w:p>
    <w:p w14:paraId="7B0F29E5" w14:textId="06A151A7" w:rsidR="00991051" w:rsidRDefault="00991051" w:rsidP="00991051">
      <w:pPr>
        <w:spacing w:after="0" w:line="480" w:lineRule="auto"/>
        <w:ind w:firstLine="720"/>
        <w:rPr>
          <w:rFonts w:ascii="Century Schoolbook" w:hAnsi="Century Schoolbook"/>
        </w:rPr>
      </w:pPr>
      <w:r>
        <w:rPr>
          <w:rFonts w:ascii="Century Schoolbook" w:hAnsi="Century Schoolbook"/>
        </w:rPr>
        <w:t xml:space="preserve">Because what constitutes a “conviction” is determined by the law of the jurisdiction where the proceedings were held, federal courts must consider North Carolina law in circumstances where the crime was committed in this state. This often raises complex questions about the interplay of </w:t>
      </w:r>
      <w:r w:rsidR="00503CC6">
        <w:rPr>
          <w:rFonts w:ascii="Century Schoolbook" w:hAnsi="Century Schoolbook"/>
        </w:rPr>
        <w:t>s</w:t>
      </w:r>
      <w:r>
        <w:rPr>
          <w:rFonts w:ascii="Century Schoolbook" w:hAnsi="Century Schoolbook"/>
        </w:rPr>
        <w:t xml:space="preserve">tate and </w:t>
      </w:r>
      <w:r w:rsidR="00503CC6">
        <w:rPr>
          <w:rFonts w:ascii="Century Schoolbook" w:hAnsi="Century Schoolbook"/>
        </w:rPr>
        <w:t>f</w:t>
      </w:r>
      <w:r>
        <w:rPr>
          <w:rFonts w:ascii="Century Schoolbook" w:hAnsi="Century Schoolbook"/>
        </w:rPr>
        <w:t>ederal law, which are beyond the scope of this presentation.</w:t>
      </w:r>
    </w:p>
    <w:p w14:paraId="48D50CB0" w14:textId="3B723841" w:rsidR="00991051" w:rsidRDefault="00991051" w:rsidP="00991051">
      <w:pPr>
        <w:spacing w:after="0" w:line="480" w:lineRule="auto"/>
        <w:ind w:firstLine="720"/>
        <w:rPr>
          <w:rFonts w:ascii="Century Schoolbook" w:hAnsi="Century Schoolbook"/>
        </w:rPr>
      </w:pPr>
      <w:r>
        <w:rPr>
          <w:rFonts w:ascii="Century Schoolbook" w:hAnsi="Century Schoolbook"/>
        </w:rPr>
        <w:t>Notably, only one misdemeanor in North Carolina</w:t>
      </w:r>
      <w:r w:rsidR="004F0762">
        <w:rPr>
          <w:rFonts w:ascii="Century Schoolbook" w:hAnsi="Century Schoolbook"/>
        </w:rPr>
        <w:t xml:space="preserve">, DWI, </w:t>
      </w:r>
      <w:r>
        <w:rPr>
          <w:rFonts w:ascii="Century Schoolbook" w:hAnsi="Century Schoolbook"/>
        </w:rPr>
        <w:t>carries a maximum possible punishment in excess of two years</w:t>
      </w:r>
      <w:r w:rsidR="004F0762">
        <w:rPr>
          <w:rFonts w:ascii="Century Schoolbook" w:hAnsi="Century Schoolbook"/>
        </w:rPr>
        <w:t xml:space="preserve">, therefore potentially resulting in a 922(g)(1) prohibiting under 921(a)(20)(B). </w:t>
      </w:r>
    </w:p>
    <w:p w14:paraId="075D065D" w14:textId="16C9CCEB" w:rsidR="003161E2" w:rsidRPr="000B5F82" w:rsidRDefault="003161E2" w:rsidP="003161E2">
      <w:pPr>
        <w:spacing w:after="0" w:line="480" w:lineRule="auto"/>
        <w:ind w:firstLine="720"/>
        <w:jc w:val="center"/>
        <w:rPr>
          <w:rFonts w:ascii="Century Schoolbook" w:hAnsi="Century Schoolbook"/>
          <w:b/>
          <w:bCs/>
          <w:u w:val="single"/>
        </w:rPr>
      </w:pPr>
      <w:r w:rsidRPr="000B5F82">
        <w:rPr>
          <w:rFonts w:ascii="Century Schoolbook" w:hAnsi="Century Schoolbook"/>
          <w:b/>
          <w:bCs/>
          <w:u w:val="single"/>
        </w:rPr>
        <w:lastRenderedPageBreak/>
        <w:t>*** Important Practice Note***</w:t>
      </w:r>
    </w:p>
    <w:p w14:paraId="08E602D8" w14:textId="77777777" w:rsidR="00E407C3" w:rsidRDefault="00E407C3" w:rsidP="00E407C3">
      <w:pPr>
        <w:spacing w:after="0" w:line="480" w:lineRule="auto"/>
        <w:ind w:firstLine="720"/>
        <w:rPr>
          <w:rFonts w:ascii="Century Schoolbook" w:hAnsi="Century Schoolbook"/>
        </w:rPr>
      </w:pPr>
      <w:r>
        <w:rPr>
          <w:rFonts w:ascii="Century Schoolbook" w:hAnsi="Century Schoolbook"/>
        </w:rPr>
        <w:t xml:space="preserve">Because </w:t>
      </w:r>
      <w:r w:rsidRPr="00E407C3">
        <w:rPr>
          <w:rFonts w:ascii="Century Schoolbook" w:hAnsi="Century Schoolbook"/>
        </w:rPr>
        <w:t>18 U.S.C. §921(a)(20)</w:t>
      </w:r>
      <w:r>
        <w:rPr>
          <w:rFonts w:ascii="Century Schoolbook" w:hAnsi="Century Schoolbook"/>
        </w:rPr>
        <w:t xml:space="preserve"> excludes offenses which have been expunged from the definition of “conviction,” many practitioners think that an expungement automatically restores an individual’s firearms rights. This is simply not the case. </w:t>
      </w:r>
    </w:p>
    <w:p w14:paraId="596107BB" w14:textId="65A820AA" w:rsidR="00E407C3" w:rsidRDefault="00E407C3" w:rsidP="00E407C3">
      <w:pPr>
        <w:spacing w:after="0" w:line="480" w:lineRule="auto"/>
        <w:ind w:firstLine="720"/>
        <w:rPr>
          <w:rFonts w:ascii="Century Schoolbook" w:hAnsi="Century Schoolbook"/>
        </w:rPr>
      </w:pPr>
      <w:r>
        <w:rPr>
          <w:rFonts w:ascii="Century Schoolbook" w:hAnsi="Century Schoolbook"/>
        </w:rPr>
        <w:t xml:space="preserve">ATF and the FBI have taken the position that an expungement only restores an individual’s firearms rights if it is a “true expungement.” An expungement qualifies as a true expungement if the statutory expungement procedure deems that the conviction shall be treated as if it didn’t exist for all purposes. Unfortunately, many of the expungement procedures provided for under Chapter 15A contain an exception from the non-disclosure protections of </w:t>
      </w:r>
      <w:r w:rsidRPr="00E407C3">
        <w:rPr>
          <w:rFonts w:ascii="Century Schoolbook" w:hAnsi="Century Schoolbook"/>
        </w:rPr>
        <w:t>G.S. 15A-153</w:t>
      </w:r>
      <w:r w:rsidR="000B5F82">
        <w:rPr>
          <w:rFonts w:ascii="Century Schoolbook" w:hAnsi="Century Schoolbook"/>
        </w:rPr>
        <w:t xml:space="preserve"> which allows the State to use prior expunged convictions during a </w:t>
      </w:r>
      <w:r w:rsidR="000B5F82" w:rsidRPr="000B5F82">
        <w:rPr>
          <w:rFonts w:ascii="Century Schoolbook" w:hAnsi="Century Schoolbook"/>
        </w:rPr>
        <w:t>sentencing hearing when the person has been convicted of a subsequent criminal offense.</w:t>
      </w:r>
      <w:r w:rsidR="000B5F82">
        <w:rPr>
          <w:rFonts w:ascii="Century Schoolbook" w:hAnsi="Century Schoolbook"/>
        </w:rPr>
        <w:t xml:space="preserve"> In other words, because North Carolina law allows expunged convictions to be used in future proceedings, this is not a true expungement because the law does not treat the conviction as if it didn’t exist for all purposes. For further discussion of this issue, see </w:t>
      </w:r>
      <w:r w:rsidR="000B5F82" w:rsidRPr="000B5F82">
        <w:rPr>
          <w:rFonts w:ascii="Century Schoolbook" w:hAnsi="Century Schoolbook"/>
          <w:i/>
          <w:iCs/>
        </w:rPr>
        <w:t>Wilburn et al v. Bureau of Alcohol, Tobacco, Firearms, and Explosives et al</w:t>
      </w:r>
      <w:r w:rsidR="000B5F82" w:rsidRPr="000B5F82">
        <w:rPr>
          <w:rFonts w:ascii="Century Schoolbook" w:hAnsi="Century Schoolbook"/>
        </w:rPr>
        <w:t xml:space="preserve">, United States District Court for the Eastern District of Michigan Case No. 2:  23-cv-13170; </w:t>
      </w:r>
      <w:r w:rsidR="000B5F82">
        <w:rPr>
          <w:rFonts w:ascii="Century Schoolbook" w:hAnsi="Century Schoolbook"/>
        </w:rPr>
        <w:t>(</w:t>
      </w:r>
      <w:r w:rsidR="000B5F82" w:rsidRPr="000B5F82">
        <w:rPr>
          <w:rFonts w:ascii="Century Schoolbook" w:hAnsi="Century Schoolbook"/>
        </w:rPr>
        <w:t>Granting Defendant ATF’s motion to dismiss and finding that Michigan’s set-aside procedure did not restore the Plaintiff’s firearms rights because Michigan  law  expressly provides  that  a  conviction  may  have  various  effects  even  after  it  is  set  aside.)</w:t>
      </w:r>
      <w:r w:rsidR="000B5F82">
        <w:rPr>
          <w:rFonts w:ascii="Century Schoolbook" w:hAnsi="Century Schoolbook"/>
        </w:rPr>
        <w:t xml:space="preserve"> Also see </w:t>
      </w:r>
      <w:r w:rsidR="000B5F82">
        <w:rPr>
          <w:rFonts w:ascii="Century Schoolbook" w:hAnsi="Century Schoolbook"/>
          <w:i/>
          <w:iCs/>
        </w:rPr>
        <w:t>Wyoming ex rel. Crank v. United States</w:t>
      </w:r>
      <w:r w:rsidR="000B5F82">
        <w:rPr>
          <w:rFonts w:ascii="Century Schoolbook" w:hAnsi="Century Schoolbook"/>
        </w:rPr>
        <w:t>, 539 F.3d 1236 (10</w:t>
      </w:r>
      <w:r w:rsidR="000B5F82" w:rsidRPr="000B5F82">
        <w:rPr>
          <w:rFonts w:ascii="Century Schoolbook" w:hAnsi="Century Schoolbook"/>
          <w:vertAlign w:val="superscript"/>
        </w:rPr>
        <w:t>th</w:t>
      </w:r>
      <w:r w:rsidR="000B5F82">
        <w:rPr>
          <w:rFonts w:ascii="Century Schoolbook" w:hAnsi="Century Schoolbook"/>
        </w:rPr>
        <w:t xml:space="preserve"> Cir. </w:t>
      </w:r>
      <w:r w:rsidR="000B5F82">
        <w:rPr>
          <w:rFonts w:ascii="Century Schoolbook" w:hAnsi="Century Schoolbook"/>
        </w:rPr>
        <w:lastRenderedPageBreak/>
        <w:t>2008)</w:t>
      </w:r>
      <w:r w:rsidR="00DD40CB">
        <w:rPr>
          <w:rFonts w:ascii="Century Schoolbook" w:hAnsi="Century Schoolbook"/>
        </w:rPr>
        <w:t xml:space="preserve"> </w:t>
      </w:r>
      <w:r w:rsidR="000B5F82">
        <w:rPr>
          <w:rFonts w:ascii="Century Schoolbook" w:hAnsi="Century Schoolbook"/>
        </w:rPr>
        <w:t>(Concluding that Congress intended “expunged” to require that a state procedure completely remove the effects of the conviction in question.)</w:t>
      </w:r>
    </w:p>
    <w:p w14:paraId="2CFC54D2" w14:textId="24992B18" w:rsidR="000B5F82" w:rsidRPr="000B5F82" w:rsidRDefault="000B5F82" w:rsidP="00E407C3">
      <w:pPr>
        <w:spacing w:after="0" w:line="480" w:lineRule="auto"/>
        <w:ind w:firstLine="720"/>
        <w:rPr>
          <w:rFonts w:ascii="Century Schoolbook" w:hAnsi="Century Schoolbook"/>
        </w:rPr>
      </w:pPr>
      <w:r>
        <w:rPr>
          <w:rFonts w:ascii="Century Schoolbook" w:hAnsi="Century Schoolbook"/>
        </w:rPr>
        <w:t>Additionally, expungement under Chapter 15A is a state statutory procedure</w:t>
      </w:r>
      <w:r w:rsidR="008734F6">
        <w:rPr>
          <w:rFonts w:ascii="Century Schoolbook" w:hAnsi="Century Schoolbook"/>
        </w:rPr>
        <w:t>, and the federal government is not required to remove the arrest and conviction from the individual’s federal record. (As an aside, there is no general federal expungement statute, and federal courts have no inherent authority to expunge records of a federal conviction.) Therefore, if an expungement is performed first, a “</w:t>
      </w:r>
      <w:r w:rsidR="00E052D2">
        <w:rPr>
          <w:rFonts w:ascii="Century Schoolbook" w:hAnsi="Century Schoolbook"/>
        </w:rPr>
        <w:t>C</w:t>
      </w:r>
      <w:r w:rsidR="008734F6">
        <w:rPr>
          <w:rFonts w:ascii="Century Schoolbook" w:hAnsi="Century Schoolbook"/>
        </w:rPr>
        <w:t xml:space="preserve">atch-22” can result whereby the federal government still maintains a record of conviction, but a state court judge cannot restore an individual’s firearms rights where there is no record of conviction at the state level. </w:t>
      </w:r>
    </w:p>
    <w:p w14:paraId="540BF09C" w14:textId="072B60C0" w:rsidR="00E407C3" w:rsidRDefault="00E407C3" w:rsidP="00E407C3">
      <w:pPr>
        <w:spacing w:after="0" w:line="480" w:lineRule="auto"/>
        <w:ind w:firstLine="720"/>
        <w:rPr>
          <w:rFonts w:ascii="Century Schoolbook" w:hAnsi="Century Schoolbook"/>
        </w:rPr>
      </w:pPr>
      <w:r>
        <w:rPr>
          <w:rFonts w:ascii="Century Schoolbook" w:hAnsi="Century Schoolbook"/>
        </w:rPr>
        <w:t xml:space="preserve">The better practice is </w:t>
      </w:r>
      <w:r w:rsidR="000B5F82">
        <w:rPr>
          <w:rFonts w:ascii="Century Schoolbook" w:hAnsi="Century Schoolbook"/>
        </w:rPr>
        <w:t>to pursue a restoration of firearms rights first and then petition for an expungement</w:t>
      </w:r>
      <w:r w:rsidR="009A2835">
        <w:rPr>
          <w:rFonts w:ascii="Century Schoolbook" w:hAnsi="Century Schoolbook"/>
        </w:rPr>
        <w:t xml:space="preserve">. Also, </w:t>
      </w:r>
      <w:r w:rsidR="009A2835" w:rsidRPr="00E407C3">
        <w:rPr>
          <w:rFonts w:ascii="Century Schoolbook" w:hAnsi="Century Schoolbook"/>
        </w:rPr>
        <w:t>oddly</w:t>
      </w:r>
      <w:r w:rsidRPr="00E407C3">
        <w:rPr>
          <w:rFonts w:ascii="Century Schoolbook" w:hAnsi="Century Schoolbook"/>
        </w:rPr>
        <w:t>, some offenses which do not qualify for expungement will instead qualify for a restoration of firearms rights. For example, a conviction for Felony Identity Theft under G.S. § 14-113.20 is a Class G Felony which does not qualify for expungement under G.S. § 14-145.5 because that statute specifically excludes A through G felonies. An individual with such a conviction would, however, qualify for restoration of the firearms rights (so long as they were not armed at the time of the offense.)</w:t>
      </w:r>
    </w:p>
    <w:p w14:paraId="0B318632" w14:textId="3E72F9F4" w:rsidR="004F0762" w:rsidRDefault="004F0762" w:rsidP="001325AC">
      <w:pPr>
        <w:spacing w:after="0" w:line="240" w:lineRule="auto"/>
        <w:jc w:val="center"/>
        <w:rPr>
          <w:rFonts w:ascii="Century Schoolbook" w:hAnsi="Century Schoolbook"/>
        </w:rPr>
      </w:pPr>
      <w:r w:rsidRPr="0093123D">
        <w:rPr>
          <w:rFonts w:ascii="Century Schoolbook" w:hAnsi="Century Schoolbook"/>
          <w:b/>
          <w:bCs/>
          <w:u w:val="single"/>
        </w:rPr>
        <w:t>18 U.S.C. §922(g)</w:t>
      </w:r>
      <w:r>
        <w:rPr>
          <w:rFonts w:ascii="Century Schoolbook" w:hAnsi="Century Schoolbook"/>
          <w:b/>
          <w:bCs/>
          <w:u w:val="single"/>
        </w:rPr>
        <w:t xml:space="preserve">(2) – </w:t>
      </w:r>
      <w:r w:rsidR="001325AC">
        <w:rPr>
          <w:rFonts w:ascii="Century Schoolbook" w:hAnsi="Century Schoolbook"/>
          <w:b/>
          <w:bCs/>
          <w:u w:val="single"/>
        </w:rPr>
        <w:t>Fugitives</w:t>
      </w:r>
      <w:r w:rsidR="00A9682E">
        <w:rPr>
          <w:rFonts w:ascii="Century Schoolbook" w:hAnsi="Century Schoolbook"/>
          <w:b/>
          <w:bCs/>
          <w:u w:val="single"/>
        </w:rPr>
        <w:t xml:space="preserve"> from Justice</w:t>
      </w:r>
    </w:p>
    <w:p w14:paraId="5B989ADF" w14:textId="77777777" w:rsidR="001325AC" w:rsidRDefault="001325AC" w:rsidP="001325AC">
      <w:pPr>
        <w:spacing w:after="0" w:line="240" w:lineRule="auto"/>
        <w:ind w:firstLine="720"/>
        <w:rPr>
          <w:rFonts w:ascii="Century Schoolbook" w:hAnsi="Century Schoolbook"/>
        </w:rPr>
      </w:pPr>
    </w:p>
    <w:p w14:paraId="40F30183" w14:textId="4E4F8470" w:rsidR="004F0762" w:rsidRDefault="00A9682E" w:rsidP="00991051">
      <w:pPr>
        <w:spacing w:after="0" w:line="480" w:lineRule="auto"/>
        <w:ind w:firstLine="720"/>
        <w:rPr>
          <w:rFonts w:ascii="Century Schoolbook" w:hAnsi="Century Schoolbook"/>
        </w:rPr>
      </w:pPr>
      <w:r>
        <w:rPr>
          <w:rFonts w:ascii="Century Schoolbook" w:hAnsi="Century Schoolbook"/>
        </w:rPr>
        <w:t xml:space="preserve">“The term ‘fugitive from justice’ means any person who has fled from any State to avoid prosecution for a crime </w:t>
      </w:r>
      <w:r w:rsidRPr="00A9682E">
        <w:rPr>
          <w:rFonts w:ascii="Century Schoolbook" w:hAnsi="Century Schoolbook"/>
        </w:rPr>
        <w:t>or to avoid giving testimony in any criminal proceeding</w:t>
      </w:r>
      <w:r>
        <w:rPr>
          <w:rFonts w:ascii="Century Schoolbook" w:hAnsi="Century Schoolbook"/>
        </w:rPr>
        <w:t>.” (</w:t>
      </w:r>
      <w:r w:rsidRPr="00A9682E">
        <w:rPr>
          <w:rFonts w:ascii="Century Schoolbook" w:hAnsi="Century Schoolbook"/>
        </w:rPr>
        <w:t>18 U.S.C. §92</w:t>
      </w:r>
      <w:r>
        <w:rPr>
          <w:rFonts w:ascii="Century Schoolbook" w:hAnsi="Century Schoolbook"/>
        </w:rPr>
        <w:t>1</w:t>
      </w:r>
      <w:r w:rsidRPr="00A9682E">
        <w:rPr>
          <w:rFonts w:ascii="Century Schoolbook" w:hAnsi="Century Schoolbook"/>
        </w:rPr>
        <w:t>(</w:t>
      </w:r>
      <w:r>
        <w:rPr>
          <w:rFonts w:ascii="Century Schoolbook" w:hAnsi="Century Schoolbook"/>
        </w:rPr>
        <w:t>a</w:t>
      </w:r>
      <w:r w:rsidRPr="00A9682E">
        <w:rPr>
          <w:rFonts w:ascii="Century Schoolbook" w:hAnsi="Century Schoolbook"/>
        </w:rPr>
        <w:t>)(</w:t>
      </w:r>
      <w:r>
        <w:rPr>
          <w:rFonts w:ascii="Century Schoolbook" w:hAnsi="Century Schoolbook"/>
        </w:rPr>
        <w:t xml:space="preserve">15)). </w:t>
      </w:r>
    </w:p>
    <w:p w14:paraId="010036AB" w14:textId="5C61C4EC" w:rsidR="001325AC" w:rsidRDefault="001325AC" w:rsidP="00991051">
      <w:pPr>
        <w:spacing w:after="0" w:line="480" w:lineRule="auto"/>
        <w:ind w:firstLine="720"/>
        <w:rPr>
          <w:rFonts w:ascii="Century Schoolbook" w:hAnsi="Century Schoolbook"/>
        </w:rPr>
      </w:pPr>
      <w:r>
        <w:rPr>
          <w:rFonts w:ascii="Century Schoolbook" w:hAnsi="Century Schoolbook"/>
        </w:rPr>
        <w:lastRenderedPageBreak/>
        <w:t xml:space="preserve">Intent is an important element to proving a violation of this law. Generally, courts have held that “avoidance of prosecution [must have been] a dominant motivation behind a defendant’s interstate travel.” </w:t>
      </w:r>
      <w:r>
        <w:rPr>
          <w:rFonts w:ascii="Century Schoolbook" w:hAnsi="Century Schoolbook"/>
          <w:i/>
          <w:iCs/>
        </w:rPr>
        <w:t>See</w:t>
      </w:r>
      <w:r>
        <w:rPr>
          <w:rFonts w:ascii="Century Schoolbook" w:hAnsi="Century Schoolbook"/>
        </w:rPr>
        <w:t xml:space="preserve"> </w:t>
      </w:r>
      <w:r>
        <w:rPr>
          <w:rFonts w:ascii="Century Schoolbook" w:hAnsi="Century Schoolbook"/>
          <w:i/>
          <w:iCs/>
        </w:rPr>
        <w:t>U.S. v. Collins</w:t>
      </w:r>
      <w:r>
        <w:rPr>
          <w:rFonts w:ascii="Century Schoolbook" w:hAnsi="Century Schoolbook"/>
        </w:rPr>
        <w:t>, 61 F.3d 1379 (9</w:t>
      </w:r>
      <w:r w:rsidRPr="001325AC">
        <w:rPr>
          <w:rFonts w:ascii="Century Schoolbook" w:hAnsi="Century Schoolbook"/>
          <w:vertAlign w:val="superscript"/>
        </w:rPr>
        <w:t>th</w:t>
      </w:r>
      <w:r>
        <w:rPr>
          <w:rFonts w:ascii="Century Schoolbook" w:hAnsi="Century Schoolbook"/>
        </w:rPr>
        <w:t xml:space="preserve"> Cir. 1995). The Fourth Circuit has held that “Any person who, </w:t>
      </w:r>
      <w:r w:rsidRPr="001325AC">
        <w:rPr>
          <w:rFonts w:ascii="Century Schoolbook" w:hAnsi="Century Schoolbook"/>
        </w:rPr>
        <w:t>knowing that charges are pending, purposely (1) leaves the jurisdiction of prosecution and (2) refuses to answer those charges by way of appearance before the prosecuting tribunal, is a fugitive from justice.”</w:t>
      </w:r>
      <w:r>
        <w:rPr>
          <w:rFonts w:ascii="Century Schoolbook" w:hAnsi="Century Schoolbook"/>
        </w:rPr>
        <w:t xml:space="preserve"> (</w:t>
      </w:r>
      <w:r>
        <w:rPr>
          <w:rFonts w:ascii="Century Schoolbook" w:hAnsi="Century Schoolbook"/>
          <w:i/>
          <w:iCs/>
        </w:rPr>
        <w:t>U.S. v. Spillane</w:t>
      </w:r>
      <w:r>
        <w:rPr>
          <w:rFonts w:ascii="Century Schoolbook" w:hAnsi="Century Schoolbook"/>
        </w:rPr>
        <w:t>, 913 F.2d 1079 (4</w:t>
      </w:r>
      <w:r w:rsidRPr="001325AC">
        <w:rPr>
          <w:rFonts w:ascii="Century Schoolbook" w:hAnsi="Century Schoolbook"/>
          <w:vertAlign w:val="superscript"/>
        </w:rPr>
        <w:t>th</w:t>
      </w:r>
      <w:r>
        <w:rPr>
          <w:rFonts w:ascii="Century Schoolbook" w:hAnsi="Century Schoolbook"/>
        </w:rPr>
        <w:t xml:space="preserve"> Cir. 1990)). Therefore, at a minimum, the defendant must have known that charges were pending against him in order to find that he is a fugitive. This may be proven through circumstantial evidence developed to show that the defendant acted in conformity with the knowledge that he had charges pending against him.</w:t>
      </w:r>
    </w:p>
    <w:p w14:paraId="17E88553" w14:textId="009DBDE2" w:rsidR="001325AC" w:rsidRPr="001325AC" w:rsidRDefault="001325AC" w:rsidP="00755DE6">
      <w:pPr>
        <w:spacing w:after="0" w:line="240" w:lineRule="auto"/>
        <w:ind w:firstLine="720"/>
        <w:jc w:val="center"/>
        <w:rPr>
          <w:rFonts w:ascii="Century Schoolbook" w:hAnsi="Century Schoolbook"/>
          <w:b/>
          <w:bCs/>
          <w:u w:val="single"/>
        </w:rPr>
      </w:pPr>
      <w:r w:rsidRPr="001325AC">
        <w:rPr>
          <w:rFonts w:ascii="Century Schoolbook" w:hAnsi="Century Schoolbook"/>
          <w:b/>
          <w:bCs/>
          <w:u w:val="single"/>
        </w:rPr>
        <w:t>18 U.S.C. §922(g)(</w:t>
      </w:r>
      <w:r>
        <w:rPr>
          <w:rFonts w:ascii="Century Schoolbook" w:hAnsi="Century Schoolbook"/>
          <w:b/>
          <w:bCs/>
          <w:u w:val="single"/>
        </w:rPr>
        <w:t>3</w:t>
      </w:r>
      <w:r w:rsidRPr="001325AC">
        <w:rPr>
          <w:rFonts w:ascii="Century Schoolbook" w:hAnsi="Century Schoolbook"/>
          <w:b/>
          <w:bCs/>
          <w:u w:val="single"/>
        </w:rPr>
        <w:t xml:space="preserve">) – </w:t>
      </w:r>
      <w:r>
        <w:rPr>
          <w:rFonts w:ascii="Century Schoolbook" w:hAnsi="Century Schoolbook"/>
          <w:b/>
          <w:bCs/>
          <w:u w:val="single"/>
        </w:rPr>
        <w:t>U</w:t>
      </w:r>
      <w:r w:rsidRPr="001325AC">
        <w:rPr>
          <w:rFonts w:ascii="Century Schoolbook" w:hAnsi="Century Schoolbook"/>
          <w:b/>
          <w:bCs/>
          <w:u w:val="single"/>
        </w:rPr>
        <w:t xml:space="preserve">nlawful </w:t>
      </w:r>
      <w:r>
        <w:rPr>
          <w:rFonts w:ascii="Century Schoolbook" w:hAnsi="Century Schoolbook"/>
          <w:b/>
          <w:bCs/>
          <w:u w:val="single"/>
        </w:rPr>
        <w:t>U</w:t>
      </w:r>
      <w:r w:rsidRPr="001325AC">
        <w:rPr>
          <w:rFonts w:ascii="Century Schoolbook" w:hAnsi="Century Schoolbook"/>
          <w:b/>
          <w:bCs/>
          <w:u w:val="single"/>
        </w:rPr>
        <w:t xml:space="preserve">ser of or </w:t>
      </w:r>
      <w:r>
        <w:rPr>
          <w:rFonts w:ascii="Century Schoolbook" w:hAnsi="Century Schoolbook"/>
          <w:b/>
          <w:bCs/>
          <w:u w:val="single"/>
        </w:rPr>
        <w:t>A</w:t>
      </w:r>
      <w:r w:rsidRPr="001325AC">
        <w:rPr>
          <w:rFonts w:ascii="Century Schoolbook" w:hAnsi="Century Schoolbook"/>
          <w:b/>
          <w:bCs/>
          <w:u w:val="single"/>
        </w:rPr>
        <w:t xml:space="preserve">ddicted to any </w:t>
      </w:r>
      <w:r>
        <w:rPr>
          <w:rFonts w:ascii="Century Schoolbook" w:hAnsi="Century Schoolbook"/>
          <w:b/>
          <w:bCs/>
          <w:u w:val="single"/>
        </w:rPr>
        <w:t>C</w:t>
      </w:r>
      <w:r w:rsidRPr="001325AC">
        <w:rPr>
          <w:rFonts w:ascii="Century Schoolbook" w:hAnsi="Century Schoolbook"/>
          <w:b/>
          <w:bCs/>
          <w:u w:val="single"/>
        </w:rPr>
        <w:t>ontrolled</w:t>
      </w:r>
      <w:r>
        <w:rPr>
          <w:rFonts w:ascii="Century Schoolbook" w:hAnsi="Century Schoolbook"/>
          <w:b/>
          <w:bCs/>
          <w:u w:val="single"/>
        </w:rPr>
        <w:t xml:space="preserve"> Substance</w:t>
      </w:r>
    </w:p>
    <w:p w14:paraId="570E8C39" w14:textId="77777777" w:rsidR="00276F30" w:rsidRDefault="00276F30" w:rsidP="00755DE6">
      <w:pPr>
        <w:spacing w:after="0" w:line="240" w:lineRule="auto"/>
        <w:rPr>
          <w:rFonts w:ascii="Century Schoolbook" w:hAnsi="Century Schoolbook"/>
        </w:rPr>
      </w:pPr>
    </w:p>
    <w:p w14:paraId="7DDDDBD8" w14:textId="5D4FD48B" w:rsidR="00276F30" w:rsidRDefault="00276F30" w:rsidP="00276F30">
      <w:pPr>
        <w:spacing w:after="0" w:line="480" w:lineRule="auto"/>
        <w:ind w:firstLine="720"/>
        <w:rPr>
          <w:rFonts w:ascii="Century Schoolbook" w:hAnsi="Century Schoolbook"/>
        </w:rPr>
      </w:pPr>
      <w:r>
        <w:rPr>
          <w:rFonts w:ascii="Century Schoolbook" w:hAnsi="Century Schoolbook"/>
        </w:rPr>
        <w:t xml:space="preserve">In order for this prohibitor to apply, an individual </w:t>
      </w:r>
      <w:r w:rsidR="00563381">
        <w:rPr>
          <w:rFonts w:ascii="Century Schoolbook" w:hAnsi="Century Schoolbook"/>
        </w:rPr>
        <w:t xml:space="preserve">must be deemed to be an </w:t>
      </w:r>
      <w:r>
        <w:rPr>
          <w:rFonts w:ascii="Century Schoolbook" w:hAnsi="Century Schoolbook"/>
        </w:rPr>
        <w:t>unlawful user</w:t>
      </w:r>
      <w:r w:rsidR="00563381">
        <w:rPr>
          <w:rFonts w:ascii="Century Schoolbook" w:hAnsi="Century Schoolbook"/>
        </w:rPr>
        <w:t xml:space="preserve"> of</w:t>
      </w:r>
      <w:r>
        <w:rPr>
          <w:rFonts w:ascii="Century Schoolbook" w:hAnsi="Century Schoolbook"/>
        </w:rPr>
        <w:t xml:space="preserve"> or addicted to any controlled substance which is defined in Section </w:t>
      </w:r>
      <w:r w:rsidRPr="00276F30">
        <w:rPr>
          <w:rFonts w:ascii="Century Schoolbook" w:hAnsi="Century Schoolbook"/>
        </w:rPr>
        <w:t>102 of the Controlled Substances Act (21 U.S.C. §802)</w:t>
      </w:r>
      <w:r>
        <w:rPr>
          <w:rFonts w:ascii="Century Schoolbook" w:hAnsi="Century Schoolbook"/>
        </w:rPr>
        <w:t>.</w:t>
      </w:r>
    </w:p>
    <w:p w14:paraId="527ECD47" w14:textId="003BC8B4" w:rsidR="00024820" w:rsidRDefault="0074334D" w:rsidP="00276F30">
      <w:pPr>
        <w:spacing w:after="0" w:line="480" w:lineRule="auto"/>
        <w:ind w:firstLine="720"/>
      </w:pPr>
      <w:r>
        <w:rPr>
          <w:rFonts w:ascii="Century Schoolbook" w:hAnsi="Century Schoolbook"/>
        </w:rPr>
        <w:t xml:space="preserve">The Supreme Court analyzed this </w:t>
      </w:r>
      <w:r w:rsidR="00E5227C">
        <w:rPr>
          <w:rFonts w:ascii="Century Schoolbook" w:hAnsi="Century Schoolbook"/>
        </w:rPr>
        <w:t xml:space="preserve">prohibitor in </w:t>
      </w:r>
      <w:r w:rsidR="00E5227C" w:rsidRPr="005C58DE">
        <w:rPr>
          <w:rFonts w:ascii="Century Schoolbook" w:hAnsi="Century Schoolbook"/>
          <w:i/>
          <w:iCs/>
        </w:rPr>
        <w:t>U.S. v. Heman</w:t>
      </w:r>
      <w:r w:rsidR="00383280" w:rsidRPr="00383280">
        <w:rPr>
          <w:rFonts w:ascii="Century Schoolbook" w:hAnsi="Century Schoolbook"/>
          <w:i/>
          <w:iCs/>
        </w:rPr>
        <w:t>,</w:t>
      </w:r>
      <w:r w:rsidR="00383280" w:rsidRPr="00383280">
        <w:rPr>
          <w:i/>
          <w:iCs/>
        </w:rPr>
        <w:t xml:space="preserve"> </w:t>
      </w:r>
      <w:r w:rsidR="00383280" w:rsidRPr="00383280">
        <w:rPr>
          <w:rFonts w:ascii="Century Schoolbook" w:hAnsi="Century Schoolbook"/>
        </w:rPr>
        <w:t xml:space="preserve">608 U.S. ----146 </w:t>
      </w:r>
      <w:proofErr w:type="spellStart"/>
      <w:r w:rsidR="00383280" w:rsidRPr="00383280">
        <w:rPr>
          <w:rFonts w:ascii="Century Schoolbook" w:hAnsi="Century Schoolbook"/>
        </w:rPr>
        <w:t>S.Ct</w:t>
      </w:r>
      <w:proofErr w:type="spellEnd"/>
      <w:r w:rsidR="00383280" w:rsidRPr="00383280">
        <w:rPr>
          <w:rFonts w:ascii="Century Schoolbook" w:hAnsi="Century Schoolbook"/>
        </w:rPr>
        <w:t>. 1677</w:t>
      </w:r>
      <w:r w:rsidR="00383280">
        <w:rPr>
          <w:rFonts w:ascii="Century Schoolbook" w:hAnsi="Century Schoolbook"/>
        </w:rPr>
        <w:t xml:space="preserve"> (2026</w:t>
      </w:r>
      <w:r w:rsidR="00D02C44">
        <w:rPr>
          <w:rFonts w:ascii="Century Schoolbook" w:hAnsi="Century Schoolbook"/>
        </w:rPr>
        <w:t>)</w:t>
      </w:r>
      <w:r w:rsidR="005C58DE">
        <w:rPr>
          <w:rFonts w:ascii="Century Schoolbook" w:hAnsi="Century Schoolbook"/>
        </w:rPr>
        <w:t xml:space="preserve">. The issue presented was </w:t>
      </w:r>
      <w:r w:rsidR="00D925AE">
        <w:rPr>
          <w:rFonts w:ascii="Century Schoolbook" w:hAnsi="Century Schoolbook"/>
        </w:rPr>
        <w:t xml:space="preserve">whether </w:t>
      </w:r>
      <w:r w:rsidR="00F874A9" w:rsidRPr="00F874A9">
        <w:rPr>
          <w:rFonts w:ascii="Century Schoolbook" w:hAnsi="Century Schoolbook"/>
        </w:rPr>
        <w:t>criminal prosecution under 18 U.S.C. § 922(g)(3) violate</w:t>
      </w:r>
      <w:r w:rsidR="00F874A9">
        <w:rPr>
          <w:rFonts w:ascii="Century Schoolbook" w:hAnsi="Century Schoolbook"/>
        </w:rPr>
        <w:t>s</w:t>
      </w:r>
      <w:r w:rsidR="00F874A9" w:rsidRPr="00F874A9">
        <w:rPr>
          <w:rFonts w:ascii="Century Schoolbook" w:hAnsi="Century Schoolbook"/>
        </w:rPr>
        <w:t xml:space="preserve"> the Second Amendment when applied to an individual based solely on regular, non-intoxicated use of a controlled substance without distinct proof of active impairment or dangerousness</w:t>
      </w:r>
      <w:r w:rsidR="00AA755F">
        <w:rPr>
          <w:rFonts w:ascii="Century Schoolbook" w:hAnsi="Century Schoolbook"/>
        </w:rPr>
        <w:t xml:space="preserve">. </w:t>
      </w:r>
      <w:r w:rsidR="00D50A98">
        <w:rPr>
          <w:rFonts w:ascii="Century Schoolbook" w:hAnsi="Century Schoolbook"/>
        </w:rPr>
        <w:t>In this case, t</w:t>
      </w:r>
      <w:r w:rsidR="00D50A98" w:rsidRPr="00D50A98">
        <w:rPr>
          <w:rFonts w:ascii="Century Schoolbook" w:hAnsi="Century Schoolbook"/>
        </w:rPr>
        <w:t xml:space="preserve">he FBI executed a search warrant at the Texas home of Ali Danial Hemani as part of a suspected terrorism-related investigation. During the search, agents discovered a Glock 19 </w:t>
      </w:r>
      <w:r w:rsidR="00D50A98" w:rsidRPr="00D50A98">
        <w:rPr>
          <w:rFonts w:ascii="Century Schoolbook" w:hAnsi="Century Schoolbook"/>
        </w:rPr>
        <w:lastRenderedPageBreak/>
        <w:t>9mm pistol in a closet, 60 grams of marijuana, and 4.7 grams of cocaine. Hemani cooperated fully and admitted to regular, recreational marijuana use</w:t>
      </w:r>
      <w:r w:rsidR="000F00D7">
        <w:rPr>
          <w:rFonts w:ascii="Century Schoolbook" w:hAnsi="Century Schoolbook"/>
        </w:rPr>
        <w:t xml:space="preserve"> </w:t>
      </w:r>
      <w:r w:rsidR="00D50A98" w:rsidRPr="00D50A98">
        <w:rPr>
          <w:rFonts w:ascii="Century Schoolbook" w:hAnsi="Century Schoolbook"/>
        </w:rPr>
        <w:t>(approximately every other day).</w:t>
      </w:r>
      <w:r w:rsidR="00FF0D58" w:rsidRPr="00FF0D58">
        <w:t xml:space="preserve"> </w:t>
      </w:r>
    </w:p>
    <w:p w14:paraId="3C226413" w14:textId="0D207CF4" w:rsidR="0074334D" w:rsidRDefault="00FF0D58" w:rsidP="00276F30">
      <w:pPr>
        <w:spacing w:after="0" w:line="480" w:lineRule="auto"/>
        <w:ind w:firstLine="720"/>
        <w:rPr>
          <w:rFonts w:ascii="Century Schoolbook" w:hAnsi="Century Schoolbook"/>
        </w:rPr>
      </w:pPr>
      <w:r w:rsidRPr="00FF0D58">
        <w:rPr>
          <w:rFonts w:ascii="Century Schoolbook" w:hAnsi="Century Schoolbook"/>
        </w:rPr>
        <w:t>Six months later, the federal government dropped any terrorism connections and brought a single-</w:t>
      </w:r>
      <w:r w:rsidR="00582A63">
        <w:rPr>
          <w:rFonts w:ascii="Century Schoolbook" w:hAnsi="Century Schoolbook"/>
        </w:rPr>
        <w:t>count</w:t>
      </w:r>
      <w:r w:rsidRPr="00FF0D58">
        <w:rPr>
          <w:rFonts w:ascii="Century Schoolbook" w:hAnsi="Century Schoolbook"/>
        </w:rPr>
        <w:t xml:space="preserve"> indictment against Hemani under 18 U.S.C. § 922(g)(3), which makes it a felony for an "unlawful user of or addicted to any controlled substance" to possess a firearm. Crucially, the government did not allege that Hemani was actively intoxicated while possessing the gun, that he used it dangerously, or that he was a drug addict. The prosecution rested entirely on his status as a regular marijuana consumer. Hemani filed a motion to dismiss, claiming the law violated his Second Amendment rights.</w:t>
      </w:r>
    </w:p>
    <w:p w14:paraId="6CF6FCA8" w14:textId="6DE5E855" w:rsidR="008B2FDA" w:rsidRPr="005C58DE" w:rsidRDefault="008B2FDA" w:rsidP="00276F30">
      <w:pPr>
        <w:spacing w:after="0" w:line="480" w:lineRule="auto"/>
        <w:ind w:firstLine="720"/>
        <w:rPr>
          <w:rFonts w:ascii="Century Schoolbook" w:hAnsi="Century Schoolbook"/>
        </w:rPr>
      </w:pPr>
      <w:r>
        <w:rPr>
          <w:rFonts w:ascii="Century Schoolbook" w:hAnsi="Century Schoolbook"/>
        </w:rPr>
        <w:t>In a 9 to 0 opinion, the Court</w:t>
      </w:r>
      <w:r w:rsidR="00942FF0">
        <w:rPr>
          <w:rFonts w:ascii="Century Schoolbook" w:hAnsi="Century Schoolbook"/>
        </w:rPr>
        <w:t xml:space="preserve"> hel</w:t>
      </w:r>
      <w:r w:rsidR="00942FF0" w:rsidRPr="00942FF0">
        <w:rPr>
          <w:rFonts w:ascii="Century Schoolbook" w:hAnsi="Century Schoolbook"/>
        </w:rPr>
        <w:t>d that enforcing an automatic, status-based firearm ban under § 922(g)(3) against a regular user of a controlled substance</w:t>
      </w:r>
      <w:r w:rsidR="00326016">
        <w:rPr>
          <w:rFonts w:ascii="Century Schoolbook" w:hAnsi="Century Schoolbook"/>
        </w:rPr>
        <w:t xml:space="preserve">, </w:t>
      </w:r>
      <w:r w:rsidR="00942FF0" w:rsidRPr="00942FF0">
        <w:rPr>
          <w:rFonts w:ascii="Century Schoolbook" w:hAnsi="Century Schoolbook"/>
        </w:rPr>
        <w:t>in the absence of simultaneous intoxication or individual proof of dangerousness</w:t>
      </w:r>
      <w:r w:rsidR="00326016">
        <w:rPr>
          <w:rFonts w:ascii="Century Schoolbook" w:hAnsi="Century Schoolbook"/>
        </w:rPr>
        <w:t xml:space="preserve">, </w:t>
      </w:r>
      <w:r w:rsidR="00942FF0" w:rsidRPr="00942FF0">
        <w:rPr>
          <w:rFonts w:ascii="Century Schoolbook" w:hAnsi="Century Schoolbook"/>
        </w:rPr>
        <w:t xml:space="preserve">is </w:t>
      </w:r>
      <w:r w:rsidR="00B879B9">
        <w:rPr>
          <w:rFonts w:ascii="Century Schoolbook" w:hAnsi="Century Schoolbook"/>
        </w:rPr>
        <w:t xml:space="preserve">not consistent </w:t>
      </w:r>
      <w:r w:rsidR="00942FF0" w:rsidRPr="00942FF0">
        <w:rPr>
          <w:rFonts w:ascii="Century Schoolbook" w:hAnsi="Century Schoolbook"/>
        </w:rPr>
        <w:t>with the Second Amendment.</w:t>
      </w:r>
    </w:p>
    <w:p w14:paraId="7964BE43" w14:textId="014C6AAC" w:rsidR="0082533A" w:rsidRDefault="007D373E" w:rsidP="00276F30">
      <w:pPr>
        <w:spacing w:after="0" w:line="480" w:lineRule="auto"/>
        <w:ind w:firstLine="720"/>
        <w:rPr>
          <w:rFonts w:ascii="Century Schoolbook" w:hAnsi="Century Schoolbook"/>
        </w:rPr>
      </w:pPr>
      <w:r>
        <w:rPr>
          <w:rFonts w:ascii="Century Schoolbook" w:hAnsi="Century Schoolbook"/>
        </w:rPr>
        <w:t xml:space="preserve">The Court did </w:t>
      </w:r>
      <w:r w:rsidR="00B879B9">
        <w:rPr>
          <w:rFonts w:ascii="Century Schoolbook" w:hAnsi="Century Schoolbook"/>
        </w:rPr>
        <w:t xml:space="preserve">directly address </w:t>
      </w:r>
      <w:r>
        <w:rPr>
          <w:rFonts w:ascii="Century Schoolbook" w:hAnsi="Century Schoolbook"/>
        </w:rPr>
        <w:t xml:space="preserve">addicts in </w:t>
      </w:r>
      <w:r w:rsidR="00383280" w:rsidRPr="00383280">
        <w:rPr>
          <w:rFonts w:ascii="Century Schoolbook" w:hAnsi="Century Schoolbook"/>
          <w:i/>
          <w:iCs/>
        </w:rPr>
        <w:t>Hemani</w:t>
      </w:r>
      <w:r w:rsidR="00383280">
        <w:rPr>
          <w:rFonts w:ascii="Century Schoolbook" w:hAnsi="Century Schoolbook"/>
        </w:rPr>
        <w:t xml:space="preserve">. </w:t>
      </w:r>
      <w:r w:rsidR="0082533A" w:rsidRPr="00383280">
        <w:rPr>
          <w:rFonts w:ascii="Century Schoolbook" w:hAnsi="Century Schoolbook"/>
        </w:rPr>
        <w:t>The</w:t>
      </w:r>
      <w:r w:rsidR="0082533A">
        <w:rPr>
          <w:rFonts w:ascii="Century Schoolbook" w:hAnsi="Century Schoolbook"/>
        </w:rPr>
        <w:t xml:space="preserve"> term “addict” is defined by the Controlled Substances Act as “any individual </w:t>
      </w:r>
      <w:r w:rsidR="0082533A" w:rsidRPr="0082533A">
        <w:rPr>
          <w:rFonts w:ascii="Century Schoolbook" w:hAnsi="Century Schoolbook"/>
        </w:rPr>
        <w:t>who habitually uses any narcotic drug so as to endanger the public morals, health, safety, or welfare, or who is so far addicted to the use of narcotic drugs as to have lost the power of self-control with reference to his addiction.</w:t>
      </w:r>
      <w:r w:rsidR="0082533A">
        <w:rPr>
          <w:rFonts w:ascii="Century Schoolbook" w:hAnsi="Century Schoolbook"/>
        </w:rPr>
        <w:t xml:space="preserve">” </w:t>
      </w:r>
      <w:r w:rsidR="0082533A" w:rsidRPr="0082533A">
        <w:rPr>
          <w:rFonts w:ascii="Century Schoolbook" w:hAnsi="Century Schoolbook"/>
        </w:rPr>
        <w:t>21 U.S.C § 802 (1).</w:t>
      </w:r>
      <w:r w:rsidR="00F43BD1">
        <w:rPr>
          <w:rFonts w:ascii="Century Schoolbook" w:hAnsi="Century Schoolbook"/>
        </w:rPr>
        <w:t xml:space="preserve"> It is unclear what might qualify as habitual use which endangers the public morals, health, safety, or welfare, but a conviction for driving while impaired or public intoxication might </w:t>
      </w:r>
      <w:r w:rsidR="00F43BD1">
        <w:rPr>
          <w:rFonts w:ascii="Century Schoolbook" w:hAnsi="Century Schoolbook"/>
        </w:rPr>
        <w:lastRenderedPageBreak/>
        <w:t xml:space="preserve">demonstrate this element. Loss of self-control with reference to addiction might be demonstrated by inpatient rehabilitation or involuntary commitment, which is also a separate prohibitor. </w:t>
      </w:r>
    </w:p>
    <w:p w14:paraId="7D7BBC6C" w14:textId="35361369" w:rsidR="00276F30" w:rsidRDefault="009E4BA1" w:rsidP="00941E5C">
      <w:pPr>
        <w:spacing w:after="0" w:line="240" w:lineRule="auto"/>
        <w:ind w:firstLine="720"/>
        <w:jc w:val="center"/>
        <w:rPr>
          <w:rFonts w:ascii="Century Schoolbook" w:hAnsi="Century Schoolbook"/>
          <w:b/>
          <w:bCs/>
          <w:u w:val="single"/>
        </w:rPr>
      </w:pPr>
      <w:r w:rsidRPr="009E4BA1">
        <w:rPr>
          <w:rFonts w:ascii="Century Schoolbook" w:hAnsi="Century Schoolbook"/>
          <w:b/>
          <w:bCs/>
          <w:u w:val="single"/>
        </w:rPr>
        <w:t xml:space="preserve">18 U.S.C. §922(g)(4) – </w:t>
      </w:r>
      <w:r>
        <w:rPr>
          <w:rFonts w:ascii="Century Schoolbook" w:hAnsi="Century Schoolbook"/>
          <w:b/>
          <w:bCs/>
          <w:u w:val="single"/>
        </w:rPr>
        <w:t>A</w:t>
      </w:r>
      <w:r w:rsidRPr="009E4BA1">
        <w:rPr>
          <w:rFonts w:ascii="Century Schoolbook" w:hAnsi="Century Schoolbook"/>
          <w:b/>
          <w:bCs/>
          <w:u w:val="single"/>
        </w:rPr>
        <w:t xml:space="preserve">djudicated as a </w:t>
      </w:r>
      <w:r>
        <w:rPr>
          <w:rFonts w:ascii="Century Schoolbook" w:hAnsi="Century Schoolbook"/>
          <w:b/>
          <w:bCs/>
          <w:u w:val="single"/>
        </w:rPr>
        <w:t>M</w:t>
      </w:r>
      <w:r w:rsidRPr="009E4BA1">
        <w:rPr>
          <w:rFonts w:ascii="Century Schoolbook" w:hAnsi="Century Schoolbook"/>
          <w:b/>
          <w:bCs/>
          <w:u w:val="single"/>
        </w:rPr>
        <w:t xml:space="preserve">ental </w:t>
      </w:r>
      <w:r>
        <w:rPr>
          <w:rFonts w:ascii="Century Schoolbook" w:hAnsi="Century Schoolbook"/>
          <w:b/>
          <w:bCs/>
          <w:u w:val="single"/>
        </w:rPr>
        <w:t>D</w:t>
      </w:r>
      <w:r w:rsidRPr="009E4BA1">
        <w:rPr>
          <w:rFonts w:ascii="Century Schoolbook" w:hAnsi="Century Schoolbook"/>
          <w:b/>
          <w:bCs/>
          <w:u w:val="single"/>
        </w:rPr>
        <w:t xml:space="preserve">efective or </w:t>
      </w:r>
      <w:r>
        <w:rPr>
          <w:rFonts w:ascii="Century Schoolbook" w:hAnsi="Century Schoolbook"/>
          <w:b/>
          <w:bCs/>
          <w:u w:val="single"/>
        </w:rPr>
        <w:t>C</w:t>
      </w:r>
      <w:r w:rsidRPr="009E4BA1">
        <w:rPr>
          <w:rFonts w:ascii="Century Schoolbook" w:hAnsi="Century Schoolbook"/>
          <w:b/>
          <w:bCs/>
          <w:u w:val="single"/>
        </w:rPr>
        <w:t xml:space="preserve">ommitted to a </w:t>
      </w:r>
      <w:r>
        <w:rPr>
          <w:rFonts w:ascii="Century Schoolbook" w:hAnsi="Century Schoolbook"/>
          <w:b/>
          <w:bCs/>
          <w:u w:val="single"/>
        </w:rPr>
        <w:t>M</w:t>
      </w:r>
      <w:r w:rsidRPr="009E4BA1">
        <w:rPr>
          <w:rFonts w:ascii="Century Schoolbook" w:hAnsi="Century Schoolbook"/>
          <w:b/>
          <w:bCs/>
          <w:u w:val="single"/>
        </w:rPr>
        <w:t xml:space="preserve">ental </w:t>
      </w:r>
      <w:r>
        <w:rPr>
          <w:rFonts w:ascii="Century Schoolbook" w:hAnsi="Century Schoolbook"/>
          <w:b/>
          <w:bCs/>
          <w:u w:val="single"/>
        </w:rPr>
        <w:t>I</w:t>
      </w:r>
      <w:r w:rsidRPr="009E4BA1">
        <w:rPr>
          <w:rFonts w:ascii="Century Schoolbook" w:hAnsi="Century Schoolbook"/>
          <w:b/>
          <w:bCs/>
          <w:u w:val="single"/>
        </w:rPr>
        <w:t>nstitution</w:t>
      </w:r>
    </w:p>
    <w:p w14:paraId="7887F377" w14:textId="77777777" w:rsidR="00F43BD1" w:rsidRDefault="00F43BD1" w:rsidP="00941E5C">
      <w:pPr>
        <w:spacing w:after="0" w:line="240" w:lineRule="auto"/>
        <w:ind w:firstLine="720"/>
        <w:jc w:val="center"/>
        <w:rPr>
          <w:rFonts w:ascii="Century Schoolbook" w:hAnsi="Century Schoolbook"/>
          <w:b/>
          <w:bCs/>
          <w:u w:val="single"/>
        </w:rPr>
      </w:pPr>
    </w:p>
    <w:p w14:paraId="086FB4B4" w14:textId="412883E1" w:rsidR="00E62730" w:rsidRDefault="00091298" w:rsidP="00091298">
      <w:pPr>
        <w:spacing w:after="0" w:line="480" w:lineRule="auto"/>
        <w:ind w:firstLine="720"/>
        <w:rPr>
          <w:rFonts w:ascii="Century Schoolbook" w:hAnsi="Century Schoolbook"/>
        </w:rPr>
      </w:pPr>
      <w:r w:rsidRPr="00091298">
        <w:rPr>
          <w:rFonts w:ascii="Century Schoolbook" w:hAnsi="Century Schoolbook"/>
        </w:rPr>
        <w:t>It is unlawful for any person “who has been adjudicated as a mental defective or who has been committed to a mental institution” to receive or possess a firearm.</w:t>
      </w:r>
      <w:r>
        <w:rPr>
          <w:rFonts w:ascii="Century Schoolbook" w:hAnsi="Century Schoolbook"/>
        </w:rPr>
        <w:t xml:space="preserve"> </w:t>
      </w:r>
      <w:r w:rsidRPr="00091298">
        <w:rPr>
          <w:rFonts w:ascii="Century Schoolbook" w:hAnsi="Century Schoolbook"/>
        </w:rPr>
        <w:t>18 U.S.C. §922(g)(4)</w:t>
      </w:r>
      <w:r>
        <w:rPr>
          <w:rFonts w:ascii="Century Schoolbook" w:hAnsi="Century Schoolbook"/>
        </w:rPr>
        <w:t xml:space="preserve">. </w:t>
      </w:r>
      <w:r w:rsidR="004D5E4B">
        <w:rPr>
          <w:rFonts w:ascii="Century Schoolbook" w:hAnsi="Century Schoolbook"/>
        </w:rPr>
        <w:t xml:space="preserve">Unfortunately, </w:t>
      </w:r>
      <w:r w:rsidR="00BC7C30">
        <w:rPr>
          <w:rFonts w:ascii="Century Schoolbook" w:hAnsi="Century Schoolbook"/>
        </w:rPr>
        <w:t>federal law does not define</w:t>
      </w:r>
      <w:r w:rsidR="004D5E4B">
        <w:rPr>
          <w:rFonts w:ascii="Century Schoolbook" w:hAnsi="Century Schoolbook"/>
        </w:rPr>
        <w:t xml:space="preserve"> the terms “adjudicated as a mental defective” or “committed to a mental institution</w:t>
      </w:r>
      <w:r w:rsidR="00BC7C30">
        <w:rPr>
          <w:rFonts w:ascii="Century Schoolbook" w:hAnsi="Century Schoolbook"/>
        </w:rPr>
        <w:t>.</w:t>
      </w:r>
      <w:r w:rsidR="004D5E4B">
        <w:rPr>
          <w:rFonts w:ascii="Century Schoolbook" w:hAnsi="Century Schoolbook"/>
        </w:rPr>
        <w:t>”</w:t>
      </w:r>
    </w:p>
    <w:p w14:paraId="42D7025E" w14:textId="23170C51" w:rsidR="00E62730" w:rsidRPr="00E62730" w:rsidRDefault="00E62730" w:rsidP="005629FE">
      <w:pPr>
        <w:spacing w:after="0" w:line="480" w:lineRule="auto"/>
        <w:jc w:val="center"/>
        <w:rPr>
          <w:rFonts w:ascii="Century Schoolbook" w:hAnsi="Century Schoolbook"/>
          <w:u w:val="single"/>
        </w:rPr>
      </w:pPr>
      <w:r>
        <w:rPr>
          <w:rFonts w:ascii="Century Schoolbook" w:hAnsi="Century Schoolbook"/>
          <w:u w:val="single"/>
        </w:rPr>
        <w:t>Committed to a Mental Institution</w:t>
      </w:r>
    </w:p>
    <w:p w14:paraId="579213C4" w14:textId="3095A468" w:rsidR="004D5E4B" w:rsidRDefault="00091298" w:rsidP="00091298">
      <w:pPr>
        <w:spacing w:after="0" w:line="480" w:lineRule="auto"/>
        <w:ind w:firstLine="720"/>
        <w:rPr>
          <w:rFonts w:ascii="Century Schoolbook" w:hAnsi="Century Schoolbook"/>
        </w:rPr>
      </w:pPr>
      <w:r w:rsidRPr="00091298">
        <w:rPr>
          <w:rFonts w:ascii="Century Schoolbook" w:hAnsi="Century Schoolbook"/>
        </w:rPr>
        <w:t xml:space="preserve">ATF regulations </w:t>
      </w:r>
      <w:r>
        <w:rPr>
          <w:rFonts w:ascii="Century Schoolbook" w:hAnsi="Century Schoolbook"/>
        </w:rPr>
        <w:t>define the term “c</w:t>
      </w:r>
      <w:r w:rsidRPr="00091298">
        <w:rPr>
          <w:rFonts w:ascii="Century Schoolbook" w:hAnsi="Century Schoolbook"/>
        </w:rPr>
        <w:t>ommitted to a mental institution</w:t>
      </w:r>
      <w:r>
        <w:rPr>
          <w:rFonts w:ascii="Century Schoolbook" w:hAnsi="Century Schoolbook"/>
        </w:rPr>
        <w:t>” as “a</w:t>
      </w:r>
      <w:r w:rsidRPr="00091298">
        <w:rPr>
          <w:rFonts w:ascii="Century Schoolbook" w:hAnsi="Century Schoolbook"/>
        </w:rPr>
        <w:t xml:space="preserve"> formal commitment of a person to a mental institution by a court, board,</w:t>
      </w:r>
      <w:r w:rsidR="00BC7C30">
        <w:rPr>
          <w:rFonts w:ascii="Century Schoolbook" w:hAnsi="Century Schoolbook"/>
        </w:rPr>
        <w:t xml:space="preserve"> </w:t>
      </w:r>
      <w:r w:rsidRPr="00091298">
        <w:rPr>
          <w:rFonts w:ascii="Century Schoolbook" w:hAnsi="Century Schoolbook"/>
        </w:rPr>
        <w:t>commission, or other lawful authority. The term includes a commitment to a mental institution involuntarily. The term includes a commitment for mental defectiveness or mental illness. It also includes commitments for other reasons, such as for drug use. The term does not include a person in a mental institution for observation or a voluntary admission to a mental institution.</w:t>
      </w:r>
      <w:r>
        <w:rPr>
          <w:rFonts w:ascii="Century Schoolbook" w:hAnsi="Century Schoolbook"/>
        </w:rPr>
        <w:t xml:space="preserve">” </w:t>
      </w:r>
      <w:r w:rsidR="004D5E4B">
        <w:rPr>
          <w:rFonts w:ascii="Century Schoolbook" w:hAnsi="Century Schoolbook"/>
        </w:rPr>
        <w:t xml:space="preserve">27 C.F.R. </w:t>
      </w:r>
      <w:r w:rsidR="004D5E4B" w:rsidRPr="004D5E4B">
        <w:rPr>
          <w:rFonts w:ascii="Century Schoolbook" w:hAnsi="Century Schoolbook"/>
        </w:rPr>
        <w:t>§ 478.11.</w:t>
      </w:r>
      <w:r w:rsidR="004D5E4B">
        <w:rPr>
          <w:rFonts w:ascii="Century Schoolbook" w:hAnsi="Century Schoolbook"/>
        </w:rPr>
        <w:t xml:space="preserve"> </w:t>
      </w:r>
    </w:p>
    <w:p w14:paraId="04660635" w14:textId="3A6488DF" w:rsidR="00091298" w:rsidRDefault="004D5E4B" w:rsidP="00091298">
      <w:pPr>
        <w:spacing w:after="0" w:line="480" w:lineRule="auto"/>
        <w:ind w:firstLine="720"/>
        <w:rPr>
          <w:rFonts w:ascii="Century Schoolbook" w:hAnsi="Century Schoolbook"/>
        </w:rPr>
      </w:pPr>
      <w:r>
        <w:rPr>
          <w:rFonts w:ascii="Century Schoolbook" w:hAnsi="Century Schoolbook"/>
        </w:rPr>
        <w:t xml:space="preserve">However, ATF regulations are not binding on the courts. </w:t>
      </w:r>
      <w:r w:rsidR="003B47BC">
        <w:rPr>
          <w:rFonts w:ascii="Century Schoolbook" w:hAnsi="Century Schoolbook"/>
        </w:rPr>
        <w:t>Generally, statutes should be construed so as to avoid any constitutional problems. Federal Courts</w:t>
      </w:r>
      <w:r>
        <w:rPr>
          <w:rFonts w:ascii="Century Schoolbook" w:hAnsi="Century Schoolbook"/>
        </w:rPr>
        <w:t xml:space="preserve"> have different on what the term “committed to a mental institution” means (largely along political lines). A summary of cases where this issue has been considered follows, along with a brief synopsis of each:</w:t>
      </w:r>
    </w:p>
    <w:p w14:paraId="56A2B799" w14:textId="2201AF91" w:rsidR="003B47BC" w:rsidRDefault="003B47BC" w:rsidP="00E052D2">
      <w:pPr>
        <w:pStyle w:val="ListParagraph"/>
        <w:numPr>
          <w:ilvl w:val="0"/>
          <w:numId w:val="3"/>
        </w:numPr>
        <w:spacing w:after="0" w:line="240" w:lineRule="auto"/>
        <w:rPr>
          <w:rFonts w:ascii="Century Schoolbook" w:hAnsi="Century Schoolbook"/>
        </w:rPr>
      </w:pPr>
      <w:r w:rsidRPr="003B47BC">
        <w:rPr>
          <w:rFonts w:ascii="Century Schoolbook" w:hAnsi="Century Schoolbook"/>
          <w:i/>
          <w:iCs/>
        </w:rPr>
        <w:lastRenderedPageBreak/>
        <w:t>U.S. v. Rehlander</w:t>
      </w:r>
      <w:r w:rsidRPr="003B47BC">
        <w:rPr>
          <w:rFonts w:ascii="Century Schoolbook" w:hAnsi="Century Schoolbook"/>
        </w:rPr>
        <w:t>, 666 F.3d 45, 48 (1st Cir. 2012)</w:t>
      </w:r>
      <w:r>
        <w:rPr>
          <w:rFonts w:ascii="Century Schoolbook" w:hAnsi="Century Schoolbook"/>
        </w:rPr>
        <w:t xml:space="preserve"> </w:t>
      </w:r>
      <w:r w:rsidR="00B12BF5">
        <w:rPr>
          <w:rFonts w:ascii="Century Schoolbook" w:hAnsi="Century Schoolbook"/>
        </w:rPr>
        <w:t>–</w:t>
      </w:r>
      <w:r>
        <w:rPr>
          <w:rFonts w:ascii="Century Schoolbook" w:hAnsi="Century Schoolbook"/>
        </w:rPr>
        <w:t xml:space="preserve"> </w:t>
      </w:r>
      <w:r w:rsidR="00B12BF5">
        <w:rPr>
          <w:rFonts w:ascii="Century Schoolbook" w:hAnsi="Century Schoolbook"/>
        </w:rPr>
        <w:t xml:space="preserve">Maine statute providing for </w:t>
      </w:r>
      <w:r w:rsidRPr="003B47BC">
        <w:rPr>
          <w:rFonts w:ascii="Century Schoolbook" w:hAnsi="Century Schoolbook"/>
        </w:rPr>
        <w:t xml:space="preserve">temporary hospitalization </w:t>
      </w:r>
      <w:r w:rsidR="00B12BF5">
        <w:rPr>
          <w:rFonts w:ascii="Century Schoolbook" w:hAnsi="Century Schoolbook"/>
        </w:rPr>
        <w:t xml:space="preserve">by </w:t>
      </w:r>
      <w:r w:rsidRPr="003B47BC">
        <w:rPr>
          <w:rFonts w:ascii="Century Schoolbook" w:hAnsi="Century Schoolbook"/>
        </w:rPr>
        <w:t>ex</w:t>
      </w:r>
      <w:r w:rsidR="00BC7C30">
        <w:rPr>
          <w:rFonts w:ascii="Century Schoolbook" w:hAnsi="Century Schoolbook"/>
        </w:rPr>
        <w:t>-</w:t>
      </w:r>
      <w:proofErr w:type="spellStart"/>
      <w:r w:rsidRPr="003B47BC">
        <w:rPr>
          <w:rFonts w:ascii="Century Schoolbook" w:hAnsi="Century Schoolbook"/>
        </w:rPr>
        <w:t>parte</w:t>
      </w:r>
      <w:proofErr w:type="spellEnd"/>
      <w:r w:rsidRPr="003B47BC">
        <w:rPr>
          <w:rFonts w:ascii="Century Schoolbook" w:hAnsi="Century Schoolbook"/>
        </w:rPr>
        <w:t xml:space="preserve"> </w:t>
      </w:r>
      <w:r w:rsidR="00B12BF5">
        <w:rPr>
          <w:rFonts w:ascii="Century Schoolbook" w:hAnsi="Century Schoolbook"/>
        </w:rPr>
        <w:t>petition</w:t>
      </w:r>
      <w:r w:rsidRPr="003B47BC">
        <w:rPr>
          <w:rFonts w:ascii="Century Schoolbook" w:hAnsi="Century Schoolbook"/>
        </w:rPr>
        <w:t xml:space="preserve"> may not be construed to constitute a mental commitment</w:t>
      </w:r>
      <w:r w:rsidR="00B12BF5">
        <w:rPr>
          <w:rFonts w:ascii="Century Schoolbook" w:hAnsi="Century Schoolbook"/>
        </w:rPr>
        <w:t xml:space="preserve"> under 922(g)(4)</w:t>
      </w:r>
      <w:r>
        <w:rPr>
          <w:rFonts w:ascii="Century Schoolbook" w:hAnsi="Century Schoolbook"/>
        </w:rPr>
        <w:t>.</w:t>
      </w:r>
      <w:r w:rsidRPr="003B47BC">
        <w:t xml:space="preserve"> </w:t>
      </w:r>
      <w:r>
        <w:t>“</w:t>
      </w:r>
      <w:r w:rsidRPr="003B47BC">
        <w:rPr>
          <w:rFonts w:ascii="Century Schoolbook" w:hAnsi="Century Schoolbook"/>
        </w:rPr>
        <w:t xml:space="preserve">Although the right established in </w:t>
      </w:r>
      <w:r w:rsidRPr="00BC7C30">
        <w:rPr>
          <w:rFonts w:ascii="Century Schoolbook" w:hAnsi="Century Schoolbook"/>
          <w:i/>
          <w:iCs/>
        </w:rPr>
        <w:t>Heller</w:t>
      </w:r>
      <w:r w:rsidRPr="003B47BC">
        <w:rPr>
          <w:rFonts w:ascii="Century Schoolbook" w:hAnsi="Century Schoolbook"/>
        </w:rPr>
        <w:t xml:space="preserve"> is a qualified right, … the right to possess arms (among those not properly disqualified) is no longer something that can be withdrawn by government on a permanent and irrevocable basis without due process. Ordinarily, to work a permanent or prolonged loss of a constitutional liberty or property interest, an adjudicatory hearing, including a right to offer and test evidence if facts are in dispute, is </w:t>
      </w:r>
      <w:r w:rsidR="00BC7C30" w:rsidRPr="003B47BC">
        <w:rPr>
          <w:rFonts w:ascii="Century Schoolbook" w:hAnsi="Century Schoolbook"/>
        </w:rPr>
        <w:t>required.</w:t>
      </w:r>
      <w:r w:rsidR="00BC7C30">
        <w:rPr>
          <w:rFonts w:ascii="Century Schoolbook" w:hAnsi="Century Schoolbook"/>
        </w:rPr>
        <w:t>”</w:t>
      </w:r>
      <w:r>
        <w:rPr>
          <w:rFonts w:ascii="Century Schoolbook" w:hAnsi="Century Schoolbook"/>
        </w:rPr>
        <w:t xml:space="preserve"> </w:t>
      </w:r>
      <w:r>
        <w:rPr>
          <w:rFonts w:ascii="Century Schoolbook" w:hAnsi="Century Schoolbook"/>
          <w:i/>
          <w:iCs/>
        </w:rPr>
        <w:t>Id</w:t>
      </w:r>
      <w:r>
        <w:rPr>
          <w:rFonts w:ascii="Century Schoolbook" w:hAnsi="Century Schoolbook"/>
        </w:rPr>
        <w:t>. at 48.</w:t>
      </w:r>
    </w:p>
    <w:p w14:paraId="1922928A" w14:textId="77777777" w:rsidR="00E052D2" w:rsidRDefault="00E052D2" w:rsidP="00E052D2">
      <w:pPr>
        <w:pStyle w:val="ListParagraph"/>
        <w:spacing w:after="0" w:line="240" w:lineRule="auto"/>
        <w:ind w:left="1080"/>
        <w:rPr>
          <w:rFonts w:ascii="Century Schoolbook" w:hAnsi="Century Schoolbook"/>
        </w:rPr>
      </w:pPr>
    </w:p>
    <w:p w14:paraId="56A8D85B" w14:textId="03619818" w:rsidR="003B47BC" w:rsidRDefault="003B47BC" w:rsidP="00E052D2">
      <w:pPr>
        <w:pStyle w:val="ListParagraph"/>
        <w:numPr>
          <w:ilvl w:val="0"/>
          <w:numId w:val="3"/>
        </w:numPr>
        <w:spacing w:after="0" w:line="240" w:lineRule="auto"/>
        <w:rPr>
          <w:rFonts w:ascii="Century Schoolbook" w:hAnsi="Century Schoolbook"/>
        </w:rPr>
      </w:pPr>
      <w:r w:rsidRPr="003B47BC">
        <w:rPr>
          <w:rFonts w:ascii="Century Schoolbook" w:hAnsi="Century Schoolbook"/>
          <w:i/>
          <w:iCs/>
        </w:rPr>
        <w:t>Franklin v. Sessions</w:t>
      </w:r>
      <w:r w:rsidRPr="003B47BC">
        <w:rPr>
          <w:rFonts w:ascii="Century Schoolbook" w:hAnsi="Century Schoolbook"/>
        </w:rPr>
        <w:t>, 291 F. Supp. 3d 705, 715 (W.D. Pa. 2017)</w:t>
      </w:r>
      <w:r>
        <w:rPr>
          <w:rFonts w:ascii="Century Schoolbook" w:hAnsi="Century Schoolbook"/>
        </w:rPr>
        <w:t xml:space="preserve"> - Plaintiff</w:t>
      </w:r>
      <w:r w:rsidRPr="003B47BC">
        <w:rPr>
          <w:rFonts w:ascii="Century Schoolbook" w:hAnsi="Century Schoolbook"/>
        </w:rPr>
        <w:t xml:space="preserve"> was </w:t>
      </w:r>
      <w:r w:rsidR="00B12BF5">
        <w:rPr>
          <w:rFonts w:ascii="Century Schoolbook" w:hAnsi="Century Schoolbook"/>
        </w:rPr>
        <w:t>determined</w:t>
      </w:r>
      <w:r w:rsidRPr="003B47BC">
        <w:rPr>
          <w:rFonts w:ascii="Century Schoolbook" w:hAnsi="Century Schoolbook"/>
        </w:rPr>
        <w:t xml:space="preserve"> not to have been adjudicated as a mental defective based on a Pennsylvania law under which he was “submitted to a mental health examination for up to 120 hours based on the opinions of a single county officer with an unspecified position in the county administrator's office, and a single treating physician—without the involvement of any judicial or quasi-judicial decision-maker or any semblance of an adversarial proceeding.” </w:t>
      </w:r>
      <w:r w:rsidR="00B12BF5" w:rsidRPr="00BC7C30">
        <w:rPr>
          <w:rFonts w:ascii="Century Schoolbook" w:hAnsi="Century Schoolbook"/>
          <w:i/>
          <w:iCs/>
        </w:rPr>
        <w:t>Id</w:t>
      </w:r>
      <w:r w:rsidR="00B12BF5">
        <w:rPr>
          <w:rFonts w:ascii="Century Schoolbook" w:hAnsi="Century Schoolbook"/>
        </w:rPr>
        <w:t xml:space="preserve">. at 714-715. </w:t>
      </w:r>
      <w:r w:rsidRPr="00B12BF5">
        <w:rPr>
          <w:rFonts w:ascii="Century Schoolbook" w:hAnsi="Century Schoolbook"/>
        </w:rPr>
        <w:t>The</w:t>
      </w:r>
      <w:r w:rsidRPr="003B47BC">
        <w:rPr>
          <w:rFonts w:ascii="Century Schoolbook" w:hAnsi="Century Schoolbook"/>
        </w:rPr>
        <w:t xml:space="preserve"> term “adjudicated” requires “the involvement of a judicial decision-maker, the resolution of a dispute after consideration of argument by the parties involved, and a deliberative proceeding with some form of due process.”</w:t>
      </w:r>
      <w:r w:rsidR="00B12BF5">
        <w:rPr>
          <w:rFonts w:ascii="Century Schoolbook" w:hAnsi="Century Schoolbook"/>
        </w:rPr>
        <w:t xml:space="preserve"> </w:t>
      </w:r>
      <w:r w:rsidR="00B12BF5">
        <w:rPr>
          <w:rFonts w:ascii="Century Schoolbook" w:hAnsi="Century Schoolbook"/>
          <w:i/>
          <w:iCs/>
        </w:rPr>
        <w:t>Id</w:t>
      </w:r>
      <w:r w:rsidR="00B12BF5">
        <w:rPr>
          <w:rFonts w:ascii="Century Schoolbook" w:hAnsi="Century Schoolbook"/>
        </w:rPr>
        <w:t>. at 715.</w:t>
      </w:r>
    </w:p>
    <w:p w14:paraId="1A14D74C" w14:textId="77777777" w:rsidR="00E052D2" w:rsidRPr="00E052D2" w:rsidRDefault="00E052D2" w:rsidP="00E052D2">
      <w:pPr>
        <w:spacing w:after="0" w:line="240" w:lineRule="auto"/>
        <w:rPr>
          <w:rFonts w:ascii="Century Schoolbook" w:hAnsi="Century Schoolbook"/>
        </w:rPr>
      </w:pPr>
    </w:p>
    <w:p w14:paraId="68518001" w14:textId="75126702" w:rsidR="00B12BF5" w:rsidRDefault="00B12BF5" w:rsidP="00E052D2">
      <w:pPr>
        <w:pStyle w:val="ListParagraph"/>
        <w:numPr>
          <w:ilvl w:val="0"/>
          <w:numId w:val="3"/>
        </w:numPr>
        <w:spacing w:after="0" w:line="240" w:lineRule="auto"/>
        <w:rPr>
          <w:rFonts w:ascii="Century Schoolbook" w:hAnsi="Century Schoolbook"/>
        </w:rPr>
      </w:pPr>
      <w:r w:rsidRPr="00B12BF5">
        <w:rPr>
          <w:rFonts w:ascii="Century Schoolbook" w:hAnsi="Century Schoolbook"/>
          <w:i/>
          <w:iCs/>
        </w:rPr>
        <w:t>U.S. v. Giardina</w:t>
      </w:r>
      <w:r w:rsidRPr="00B12BF5">
        <w:rPr>
          <w:rFonts w:ascii="Century Schoolbook" w:hAnsi="Century Schoolbook"/>
        </w:rPr>
        <w:t>, 861 F.2d 1334, 1337 (5th Cir. 1988)</w:t>
      </w:r>
      <w:r>
        <w:rPr>
          <w:rFonts w:ascii="Century Schoolbook" w:hAnsi="Century Schoolbook"/>
        </w:rPr>
        <w:t xml:space="preserve"> – </w:t>
      </w:r>
      <w:r w:rsidRPr="00B12BF5">
        <w:rPr>
          <w:rFonts w:ascii="Century Schoolbook" w:hAnsi="Century Schoolbook"/>
        </w:rPr>
        <w:t>Temporary emergency detentions for treatment of mental disorders or difficulties, which do not lead to formal commitments under state law, do not constitute the commitment envisioned by 18 U.S.C.A. § 922. An essential element of that federal offense is either a formal adjudication that a person suffers a mental defect, or a formal commitment, which, in the instance of Louisiana, requires formal action by the state district court</w:t>
      </w:r>
      <w:r>
        <w:rPr>
          <w:rFonts w:ascii="Century Schoolbook" w:hAnsi="Century Schoolbook"/>
        </w:rPr>
        <w:t xml:space="preserve">. </w:t>
      </w:r>
    </w:p>
    <w:p w14:paraId="56434709" w14:textId="77777777" w:rsidR="00E052D2" w:rsidRPr="00E052D2" w:rsidRDefault="00E052D2" w:rsidP="00E052D2">
      <w:pPr>
        <w:spacing w:after="0" w:line="240" w:lineRule="auto"/>
        <w:rPr>
          <w:rFonts w:ascii="Century Schoolbook" w:hAnsi="Century Schoolbook"/>
        </w:rPr>
      </w:pPr>
    </w:p>
    <w:p w14:paraId="604DB480" w14:textId="1F0BC3DF" w:rsidR="00941E5C" w:rsidRDefault="00B12BF5" w:rsidP="00E052D2">
      <w:pPr>
        <w:pStyle w:val="ListParagraph"/>
        <w:numPr>
          <w:ilvl w:val="0"/>
          <w:numId w:val="3"/>
        </w:numPr>
        <w:spacing w:after="0" w:line="240" w:lineRule="auto"/>
        <w:rPr>
          <w:rFonts w:ascii="Century Schoolbook" w:hAnsi="Century Schoolbook"/>
        </w:rPr>
      </w:pPr>
      <w:r w:rsidRPr="00B12BF5">
        <w:rPr>
          <w:rFonts w:ascii="Century Schoolbook" w:hAnsi="Century Schoolbook"/>
          <w:i/>
          <w:iCs/>
        </w:rPr>
        <w:t>U.S. v. Hansel</w:t>
      </w:r>
      <w:r w:rsidRPr="00B12BF5">
        <w:rPr>
          <w:rFonts w:ascii="Century Schoolbook" w:hAnsi="Century Schoolbook"/>
        </w:rPr>
        <w:t xml:space="preserve">, 474 F.2d 1120, 1123 (8th Cir. 1973) - Held that the law did not “prohibit the possession of firearms by persons who had been hospitalized for observation and examination, where they were found not to be mentally ill. The statute makes it clear that a commitment is required.” </w:t>
      </w:r>
    </w:p>
    <w:p w14:paraId="1DA9707F" w14:textId="77777777" w:rsidR="00E052D2" w:rsidRPr="00E052D2" w:rsidRDefault="00E052D2" w:rsidP="00E052D2">
      <w:pPr>
        <w:spacing w:after="0" w:line="240" w:lineRule="auto"/>
        <w:rPr>
          <w:rFonts w:ascii="Century Schoolbook" w:hAnsi="Century Schoolbook"/>
        </w:rPr>
      </w:pPr>
    </w:p>
    <w:p w14:paraId="5B063419" w14:textId="7E720ACC" w:rsidR="00E62730" w:rsidRDefault="00E62730" w:rsidP="00E052D2">
      <w:pPr>
        <w:pStyle w:val="ListParagraph"/>
        <w:numPr>
          <w:ilvl w:val="0"/>
          <w:numId w:val="3"/>
        </w:numPr>
        <w:spacing w:after="0" w:line="240" w:lineRule="auto"/>
        <w:rPr>
          <w:rFonts w:ascii="Century Schoolbook" w:hAnsi="Century Schoolbook"/>
        </w:rPr>
      </w:pPr>
      <w:r w:rsidRPr="00E62730">
        <w:rPr>
          <w:rFonts w:ascii="Century Schoolbook" w:hAnsi="Century Schoolbook"/>
        </w:rPr>
        <w:t>U.S. v. Waters, 23 F.3d 29, 35 (2d Cir. 1994)</w:t>
      </w:r>
      <w:r>
        <w:rPr>
          <w:rFonts w:ascii="Century Schoolbook" w:hAnsi="Century Schoolbook"/>
        </w:rPr>
        <w:t xml:space="preserve"> – Held </w:t>
      </w:r>
      <w:r w:rsidRPr="00E62730">
        <w:rPr>
          <w:rFonts w:ascii="Century Schoolbook" w:hAnsi="Century Schoolbook"/>
        </w:rPr>
        <w:t>New York's system of involuntary admission was consistent with the requirements of notice and judicial proceedings, and that it permitted “only the involuntary confinement of dangerous individuals who cannot survive in the community.”</w:t>
      </w:r>
    </w:p>
    <w:p w14:paraId="5E3E6320" w14:textId="77777777" w:rsidR="00E052D2" w:rsidRPr="00E052D2" w:rsidRDefault="00E052D2" w:rsidP="00E052D2">
      <w:pPr>
        <w:spacing w:after="0" w:line="240" w:lineRule="auto"/>
        <w:rPr>
          <w:rFonts w:ascii="Century Schoolbook" w:hAnsi="Century Schoolbook"/>
        </w:rPr>
      </w:pPr>
    </w:p>
    <w:p w14:paraId="5D0F5AA4" w14:textId="42ABB84E" w:rsidR="00E62730" w:rsidRDefault="00E62730" w:rsidP="00E052D2">
      <w:pPr>
        <w:pStyle w:val="ListParagraph"/>
        <w:numPr>
          <w:ilvl w:val="0"/>
          <w:numId w:val="3"/>
        </w:numPr>
        <w:spacing w:after="0" w:line="240" w:lineRule="auto"/>
        <w:rPr>
          <w:rFonts w:ascii="Century Schoolbook" w:hAnsi="Century Schoolbook"/>
        </w:rPr>
      </w:pPr>
      <w:r w:rsidRPr="00E62730">
        <w:rPr>
          <w:rFonts w:ascii="Century Schoolbook" w:hAnsi="Century Schoolbook"/>
          <w:i/>
          <w:iCs/>
        </w:rPr>
        <w:lastRenderedPageBreak/>
        <w:t>U.S. v. Midgett</w:t>
      </w:r>
      <w:r w:rsidRPr="00E62730">
        <w:rPr>
          <w:rFonts w:ascii="Century Schoolbook" w:hAnsi="Century Schoolbook"/>
        </w:rPr>
        <w:t>, 198 F.3d 143, 146 (4th Cir. 1999)</w:t>
      </w:r>
      <w:r>
        <w:rPr>
          <w:rFonts w:ascii="Century Schoolbook" w:hAnsi="Century Schoolbook"/>
        </w:rPr>
        <w:t xml:space="preserve"> – Defendant’s</w:t>
      </w:r>
      <w:r w:rsidRPr="00E62730">
        <w:rPr>
          <w:rFonts w:ascii="Century Schoolbook" w:hAnsi="Century Schoolbook"/>
        </w:rPr>
        <w:t xml:space="preserve"> confinement falls squarely within any reasonable definition of “committed” as used in section 922(g)(4): (1) Midgett was examined by a competent mental health practitioner; (2) he was represented by counsel; (3) factual findings were made by a judge who heard evidence; (4) a conclusion was reached by the judge that Midgett suffered from a mental illness to such a degree that he was in need of inpatient hospital care; (5) a judicial order was issued committing Midgett to a mental institution; and (6) he was actually confined there.</w:t>
      </w:r>
    </w:p>
    <w:p w14:paraId="0FA05CBD" w14:textId="77777777" w:rsidR="00E052D2" w:rsidRPr="00E052D2" w:rsidRDefault="00E052D2" w:rsidP="00E052D2">
      <w:pPr>
        <w:spacing w:after="0" w:line="240" w:lineRule="auto"/>
        <w:rPr>
          <w:rFonts w:ascii="Century Schoolbook" w:hAnsi="Century Schoolbook"/>
        </w:rPr>
      </w:pPr>
    </w:p>
    <w:p w14:paraId="7EDD4D40" w14:textId="3210E8C4" w:rsidR="00E62730" w:rsidRDefault="00E62730" w:rsidP="00E052D2">
      <w:pPr>
        <w:pStyle w:val="ListParagraph"/>
        <w:numPr>
          <w:ilvl w:val="0"/>
          <w:numId w:val="3"/>
        </w:numPr>
        <w:spacing w:after="0" w:line="240" w:lineRule="auto"/>
        <w:rPr>
          <w:rFonts w:ascii="Century Schoolbook" w:hAnsi="Century Schoolbook"/>
        </w:rPr>
      </w:pPr>
      <w:r w:rsidRPr="00E62730">
        <w:rPr>
          <w:rFonts w:ascii="Century Schoolbook" w:hAnsi="Century Schoolbook"/>
          <w:i/>
          <w:iCs/>
        </w:rPr>
        <w:t>U.S. v. Dorsch</w:t>
      </w:r>
      <w:r w:rsidRPr="00E62730">
        <w:rPr>
          <w:rFonts w:ascii="Century Schoolbook" w:hAnsi="Century Schoolbook"/>
        </w:rPr>
        <w:t>, 363 F.3d 784, 785–86 (8th Cir. 2004)</w:t>
      </w:r>
      <w:r>
        <w:rPr>
          <w:rFonts w:ascii="Century Schoolbook" w:hAnsi="Century Schoolbook"/>
        </w:rPr>
        <w:t xml:space="preserve"> - </w:t>
      </w:r>
      <w:r w:rsidRPr="00E62730">
        <w:rPr>
          <w:rFonts w:ascii="Century Schoolbook" w:hAnsi="Century Schoolbook"/>
        </w:rPr>
        <w:t>State law provided procedural protections for commitment and that the defendant had been subjected to a proper involuntary commitment.</w:t>
      </w:r>
      <w:r>
        <w:rPr>
          <w:rFonts w:ascii="Century Schoolbook" w:hAnsi="Century Schoolbook"/>
        </w:rPr>
        <w:t xml:space="preserve">  </w:t>
      </w:r>
      <w:r w:rsidRPr="00E62730">
        <w:rPr>
          <w:rFonts w:ascii="Century Schoolbook" w:hAnsi="Century Schoolbook"/>
        </w:rPr>
        <w:t>“This determination followed a hearing, during which Dorsch was represented by counsel, was given the opportunity to present evidence and cross-examine witnesses, and during which a physician testified that Dorsch was mentally ill and met the requirements of the statute.” Moreover, he was entitled to appeal his commitment or to see</w:t>
      </w:r>
      <w:r w:rsidR="005629FE">
        <w:rPr>
          <w:rFonts w:ascii="Century Schoolbook" w:hAnsi="Century Schoolbook"/>
        </w:rPr>
        <w:t>k</w:t>
      </w:r>
      <w:r w:rsidRPr="00E62730">
        <w:rPr>
          <w:rFonts w:ascii="Century Schoolbook" w:hAnsi="Century Schoolbook"/>
        </w:rPr>
        <w:t xml:space="preserve"> a writ of habeas corpus.</w:t>
      </w:r>
    </w:p>
    <w:p w14:paraId="4C80A352" w14:textId="77777777" w:rsidR="00E052D2" w:rsidRPr="00E052D2" w:rsidRDefault="00E052D2" w:rsidP="00E052D2">
      <w:pPr>
        <w:spacing w:after="0" w:line="240" w:lineRule="auto"/>
        <w:rPr>
          <w:rFonts w:ascii="Century Schoolbook" w:hAnsi="Century Schoolbook"/>
        </w:rPr>
      </w:pPr>
    </w:p>
    <w:p w14:paraId="1AC2F924" w14:textId="1FAD78EF" w:rsidR="00E62730" w:rsidRDefault="00E62730" w:rsidP="005629FE">
      <w:pPr>
        <w:spacing w:after="0" w:line="480" w:lineRule="auto"/>
        <w:jc w:val="center"/>
        <w:rPr>
          <w:rFonts w:ascii="Century Schoolbook" w:hAnsi="Century Schoolbook"/>
        </w:rPr>
      </w:pPr>
      <w:r>
        <w:rPr>
          <w:rFonts w:ascii="Century Schoolbook" w:hAnsi="Century Schoolbook"/>
          <w:u w:val="single"/>
        </w:rPr>
        <w:t>Adjudicated as a Mental Defective</w:t>
      </w:r>
    </w:p>
    <w:p w14:paraId="068CD2C2" w14:textId="27CBA6C5" w:rsidR="00323A6C" w:rsidRDefault="00E62730" w:rsidP="0010195A">
      <w:pPr>
        <w:spacing w:after="0" w:line="240" w:lineRule="auto"/>
        <w:ind w:firstLine="720"/>
        <w:rPr>
          <w:rFonts w:ascii="Century Schoolbook" w:hAnsi="Century Schoolbook"/>
        </w:rPr>
      </w:pPr>
      <w:r>
        <w:rPr>
          <w:rFonts w:ascii="Century Schoolbook" w:hAnsi="Century Schoolbook"/>
        </w:rPr>
        <w:t>ATF regulations</w:t>
      </w:r>
      <w:r w:rsidR="00323A6C">
        <w:rPr>
          <w:rFonts w:ascii="Century Schoolbook" w:hAnsi="Century Schoolbook"/>
        </w:rPr>
        <w:t xml:space="preserve"> (</w:t>
      </w:r>
      <w:r w:rsidR="00323A6C" w:rsidRPr="00323A6C">
        <w:rPr>
          <w:rFonts w:ascii="Century Schoolbook" w:hAnsi="Century Schoolbook"/>
        </w:rPr>
        <w:t>27 C.F.R. § 478.11</w:t>
      </w:r>
      <w:r w:rsidR="00323A6C">
        <w:rPr>
          <w:rFonts w:ascii="Century Schoolbook" w:hAnsi="Century Schoolbook"/>
        </w:rPr>
        <w:t>)</w:t>
      </w:r>
      <w:r>
        <w:rPr>
          <w:rFonts w:ascii="Century Schoolbook" w:hAnsi="Century Schoolbook"/>
        </w:rPr>
        <w:t xml:space="preserve"> define “adjudicated as a mental defective” as:</w:t>
      </w:r>
    </w:p>
    <w:p w14:paraId="79174FCE" w14:textId="77777777" w:rsidR="0010195A" w:rsidRDefault="0010195A" w:rsidP="0010195A">
      <w:pPr>
        <w:spacing w:after="0" w:line="240" w:lineRule="auto"/>
        <w:ind w:firstLine="720"/>
        <w:rPr>
          <w:rFonts w:ascii="Century Schoolbook" w:hAnsi="Century Schoolbook"/>
        </w:rPr>
      </w:pPr>
    </w:p>
    <w:p w14:paraId="17C9811B" w14:textId="302A4651" w:rsidR="00323A6C" w:rsidRDefault="00E62730" w:rsidP="00E052D2">
      <w:pPr>
        <w:pStyle w:val="ListParagraph"/>
        <w:numPr>
          <w:ilvl w:val="0"/>
          <w:numId w:val="6"/>
        </w:numPr>
        <w:spacing w:after="0" w:line="240" w:lineRule="auto"/>
        <w:rPr>
          <w:rFonts w:ascii="Century Schoolbook" w:hAnsi="Century Schoolbook"/>
        </w:rPr>
      </w:pPr>
      <w:r w:rsidRPr="00323A6C">
        <w:rPr>
          <w:rFonts w:ascii="Century Schoolbook" w:hAnsi="Century Schoolbook"/>
        </w:rPr>
        <w:t>A determination by a court, board, commission, or other lawful authority that a person, as a result of marked subnormal intelligence, or mental illness, incompetency, condition, or disease:</w:t>
      </w:r>
    </w:p>
    <w:p w14:paraId="68545174" w14:textId="77777777" w:rsidR="00E052D2" w:rsidRPr="00323A6C" w:rsidRDefault="00E052D2" w:rsidP="00E052D2">
      <w:pPr>
        <w:pStyle w:val="ListParagraph"/>
        <w:spacing w:after="0" w:line="240" w:lineRule="auto"/>
        <w:ind w:left="1080"/>
        <w:rPr>
          <w:rFonts w:ascii="Century Schoolbook" w:hAnsi="Century Schoolbook"/>
        </w:rPr>
      </w:pPr>
    </w:p>
    <w:p w14:paraId="0FB67815" w14:textId="2A8EAEB8" w:rsidR="00E62730" w:rsidRDefault="00E62730" w:rsidP="00E052D2">
      <w:pPr>
        <w:pStyle w:val="ListParagraph"/>
        <w:numPr>
          <w:ilvl w:val="0"/>
          <w:numId w:val="5"/>
        </w:numPr>
        <w:spacing w:after="0" w:line="240" w:lineRule="auto"/>
        <w:rPr>
          <w:rFonts w:ascii="Century Schoolbook" w:hAnsi="Century Schoolbook"/>
        </w:rPr>
      </w:pPr>
      <w:r w:rsidRPr="00323A6C">
        <w:rPr>
          <w:rFonts w:ascii="Century Schoolbook" w:hAnsi="Century Schoolbook"/>
        </w:rPr>
        <w:t>Is a danger to himself or to others; or</w:t>
      </w:r>
    </w:p>
    <w:p w14:paraId="0C4C4736" w14:textId="77777777" w:rsidR="00E052D2" w:rsidRPr="00323A6C" w:rsidRDefault="00E052D2" w:rsidP="00E052D2">
      <w:pPr>
        <w:pStyle w:val="ListParagraph"/>
        <w:spacing w:after="0" w:line="240" w:lineRule="auto"/>
        <w:ind w:left="2160"/>
        <w:rPr>
          <w:rFonts w:ascii="Century Schoolbook" w:hAnsi="Century Schoolbook"/>
        </w:rPr>
      </w:pPr>
    </w:p>
    <w:p w14:paraId="5352AFB8" w14:textId="77777777" w:rsidR="00323A6C" w:rsidRDefault="00E62730" w:rsidP="00E052D2">
      <w:pPr>
        <w:pStyle w:val="ListParagraph"/>
        <w:numPr>
          <w:ilvl w:val="0"/>
          <w:numId w:val="5"/>
        </w:numPr>
        <w:spacing w:after="0" w:line="240" w:lineRule="auto"/>
        <w:rPr>
          <w:rFonts w:ascii="Century Schoolbook" w:hAnsi="Century Schoolbook"/>
        </w:rPr>
      </w:pPr>
      <w:r w:rsidRPr="00E62730">
        <w:rPr>
          <w:rFonts w:ascii="Century Schoolbook" w:hAnsi="Century Schoolbook"/>
        </w:rPr>
        <w:t>Lacks the mental capacity to contract or manage his own affairs</w:t>
      </w:r>
      <w:r w:rsidR="00323A6C">
        <w:rPr>
          <w:rFonts w:ascii="Century Schoolbook" w:hAnsi="Century Schoolbook"/>
        </w:rPr>
        <w:t>.</w:t>
      </w:r>
    </w:p>
    <w:p w14:paraId="79008909" w14:textId="77777777" w:rsidR="00E052D2" w:rsidRPr="00E052D2" w:rsidRDefault="00E052D2" w:rsidP="00E052D2">
      <w:pPr>
        <w:spacing w:after="0" w:line="240" w:lineRule="auto"/>
        <w:rPr>
          <w:rFonts w:ascii="Century Schoolbook" w:hAnsi="Century Schoolbook"/>
        </w:rPr>
      </w:pPr>
    </w:p>
    <w:p w14:paraId="2809343A" w14:textId="04256A91" w:rsidR="00323A6C" w:rsidRDefault="00E62730" w:rsidP="00E052D2">
      <w:pPr>
        <w:pStyle w:val="ListParagraph"/>
        <w:numPr>
          <w:ilvl w:val="0"/>
          <w:numId w:val="6"/>
        </w:numPr>
        <w:spacing w:after="0" w:line="240" w:lineRule="auto"/>
        <w:rPr>
          <w:rFonts w:ascii="Century Schoolbook" w:hAnsi="Century Schoolbook"/>
        </w:rPr>
      </w:pPr>
      <w:r w:rsidRPr="00323A6C">
        <w:rPr>
          <w:rFonts w:ascii="Century Schoolbook" w:hAnsi="Century Schoolbook"/>
        </w:rPr>
        <w:t>The term shall include—</w:t>
      </w:r>
    </w:p>
    <w:p w14:paraId="233D1DE2" w14:textId="77777777" w:rsidR="00E052D2" w:rsidRPr="00323A6C" w:rsidRDefault="00E052D2" w:rsidP="00E052D2">
      <w:pPr>
        <w:pStyle w:val="ListParagraph"/>
        <w:spacing w:after="0" w:line="240" w:lineRule="auto"/>
        <w:ind w:left="1080"/>
        <w:rPr>
          <w:rFonts w:ascii="Century Schoolbook" w:hAnsi="Century Schoolbook"/>
        </w:rPr>
      </w:pPr>
    </w:p>
    <w:p w14:paraId="607D181D" w14:textId="3FE2CF4F" w:rsidR="00E62730" w:rsidRDefault="00E62730" w:rsidP="00E052D2">
      <w:pPr>
        <w:pStyle w:val="ListParagraph"/>
        <w:numPr>
          <w:ilvl w:val="0"/>
          <w:numId w:val="7"/>
        </w:numPr>
        <w:spacing w:after="0" w:line="240" w:lineRule="auto"/>
        <w:rPr>
          <w:rFonts w:ascii="Century Schoolbook" w:hAnsi="Century Schoolbook"/>
        </w:rPr>
      </w:pPr>
      <w:r w:rsidRPr="00323A6C">
        <w:rPr>
          <w:rFonts w:ascii="Century Schoolbook" w:hAnsi="Century Schoolbook"/>
        </w:rPr>
        <w:t xml:space="preserve"> A finding of insanity by a court in a criminal case; and</w:t>
      </w:r>
    </w:p>
    <w:p w14:paraId="5414AD9D" w14:textId="77777777" w:rsidR="00E052D2" w:rsidRPr="00E052D2" w:rsidRDefault="00E052D2" w:rsidP="00E052D2">
      <w:pPr>
        <w:spacing w:after="0" w:line="240" w:lineRule="auto"/>
        <w:ind w:left="1800"/>
        <w:rPr>
          <w:rFonts w:ascii="Century Schoolbook" w:hAnsi="Century Schoolbook"/>
        </w:rPr>
      </w:pPr>
    </w:p>
    <w:p w14:paraId="79DBCB60" w14:textId="7D524699" w:rsidR="00E62730" w:rsidRDefault="00E62730" w:rsidP="00E052D2">
      <w:pPr>
        <w:pStyle w:val="ListParagraph"/>
        <w:numPr>
          <w:ilvl w:val="0"/>
          <w:numId w:val="7"/>
        </w:numPr>
        <w:spacing w:after="0" w:line="240" w:lineRule="auto"/>
        <w:rPr>
          <w:rFonts w:ascii="Century Schoolbook" w:hAnsi="Century Schoolbook"/>
        </w:rPr>
      </w:pPr>
      <w:r w:rsidRPr="00323A6C">
        <w:rPr>
          <w:rFonts w:ascii="Century Schoolbook" w:hAnsi="Century Schoolbook"/>
        </w:rPr>
        <w:t xml:space="preserve"> Those persons found incompetent to stand trial or found not guilty by reason of lack of mental responsibility pursuant to articles 50a and 72b of the Uniform Code of Military Justice, 10 U.S.C.A § 850a, 876b.</w:t>
      </w:r>
    </w:p>
    <w:p w14:paraId="3A996099" w14:textId="77777777" w:rsidR="00E052D2" w:rsidRPr="00E052D2" w:rsidRDefault="00E052D2" w:rsidP="00E052D2">
      <w:pPr>
        <w:spacing w:after="0" w:line="240" w:lineRule="auto"/>
        <w:rPr>
          <w:rFonts w:ascii="Century Schoolbook" w:hAnsi="Century Schoolbook"/>
        </w:rPr>
      </w:pPr>
    </w:p>
    <w:p w14:paraId="705A021E" w14:textId="463C0595" w:rsidR="00EC7984" w:rsidRDefault="00323A6C" w:rsidP="00463428">
      <w:pPr>
        <w:spacing w:after="0" w:line="480" w:lineRule="auto"/>
        <w:ind w:firstLine="720"/>
        <w:rPr>
          <w:rFonts w:ascii="Century Schoolbook" w:hAnsi="Century Schoolbook"/>
        </w:rPr>
      </w:pPr>
      <w:r>
        <w:rPr>
          <w:rFonts w:ascii="Century Schoolbook" w:hAnsi="Century Schoolbook"/>
        </w:rPr>
        <w:t xml:space="preserve">Again, ATF regulations are not binding on the courts, and this definition attempts to expand the scope of the language of 922(g)(4) far beyond the ordinary </w:t>
      </w:r>
      <w:r>
        <w:rPr>
          <w:rFonts w:ascii="Century Schoolbook" w:hAnsi="Century Schoolbook"/>
        </w:rPr>
        <w:lastRenderedPageBreak/>
        <w:t>meaning of “mental defective</w:t>
      </w:r>
      <w:r w:rsidR="005629FE">
        <w:rPr>
          <w:rFonts w:ascii="Century Schoolbook" w:hAnsi="Century Schoolbook"/>
        </w:rPr>
        <w:t>.</w:t>
      </w:r>
      <w:r>
        <w:rPr>
          <w:rFonts w:ascii="Century Schoolbook" w:hAnsi="Century Schoolbook"/>
        </w:rPr>
        <w:t xml:space="preserve">” </w:t>
      </w:r>
      <w:r w:rsidR="00463428">
        <w:rPr>
          <w:rFonts w:ascii="Century Schoolbook" w:hAnsi="Century Schoolbook"/>
        </w:rPr>
        <w:t xml:space="preserve">In </w:t>
      </w:r>
      <w:r w:rsidR="00463428" w:rsidRPr="00463428">
        <w:rPr>
          <w:rFonts w:ascii="Century Schoolbook" w:hAnsi="Century Schoolbook"/>
          <w:i/>
          <w:iCs/>
        </w:rPr>
        <w:t>U.S. v. Hansel</w:t>
      </w:r>
      <w:r w:rsidR="00463428">
        <w:rPr>
          <w:rFonts w:ascii="Century Schoolbook" w:hAnsi="Century Schoolbook"/>
        </w:rPr>
        <w:t xml:space="preserve">, the </w:t>
      </w:r>
      <w:r w:rsidR="00B6336B">
        <w:rPr>
          <w:rFonts w:ascii="Century Schoolbook" w:hAnsi="Century Schoolbook"/>
        </w:rPr>
        <w:t xml:space="preserve">court </w:t>
      </w:r>
      <w:r w:rsidR="00463428" w:rsidRPr="00463428">
        <w:rPr>
          <w:rFonts w:ascii="Century Schoolbook" w:hAnsi="Century Schoolbook"/>
        </w:rPr>
        <w:t>noted that “we are left to ourselves to determine the meaning of the term ‘mental defective,’ … without any revealing guides as to the intent of Congress. In these circumstances we should follow the familiar rule that criminal statutes are to be strictly construed and give to ‘[mental defective]’ its narrow meaning ….”</w:t>
      </w:r>
      <w:r w:rsidR="00463428">
        <w:rPr>
          <w:rFonts w:ascii="Century Schoolbook" w:hAnsi="Century Schoolbook"/>
        </w:rPr>
        <w:t xml:space="preserve"> </w:t>
      </w:r>
      <w:r w:rsidR="00463428" w:rsidRPr="00463428">
        <w:rPr>
          <w:rFonts w:ascii="Century Schoolbook" w:hAnsi="Century Schoolbook"/>
          <w:i/>
          <w:iCs/>
        </w:rPr>
        <w:t>U.S. v. Hansel</w:t>
      </w:r>
      <w:r w:rsidR="00463428" w:rsidRPr="00463428">
        <w:rPr>
          <w:rFonts w:ascii="Century Schoolbook" w:hAnsi="Century Schoolbook"/>
        </w:rPr>
        <w:t xml:space="preserve">, 474 F.2d 1120, 1124 (8th Cir. 1973). </w:t>
      </w:r>
      <w:r w:rsidR="00463428">
        <w:rPr>
          <w:rFonts w:ascii="Century Schoolbook" w:hAnsi="Century Schoolbook"/>
        </w:rPr>
        <w:t>In this case, t</w:t>
      </w:r>
      <w:r w:rsidR="00463428" w:rsidRPr="00463428">
        <w:rPr>
          <w:rFonts w:ascii="Century Schoolbook" w:hAnsi="Century Schoolbook"/>
        </w:rPr>
        <w:t>he physician who had examined the defendant when hospitalized testified that “the term mental defective” was “an impairment of intellectual abilities so it would be synonymous with mental retardation.”</w:t>
      </w:r>
      <w:r w:rsidR="00463428">
        <w:rPr>
          <w:rFonts w:ascii="Century Schoolbook" w:hAnsi="Century Schoolbook"/>
        </w:rPr>
        <w:t xml:space="preserve"> </w:t>
      </w:r>
      <w:r w:rsidR="00463428">
        <w:rPr>
          <w:rFonts w:ascii="Century Schoolbook" w:hAnsi="Century Schoolbook"/>
          <w:i/>
          <w:iCs/>
        </w:rPr>
        <w:t>Id</w:t>
      </w:r>
      <w:r w:rsidR="00463428">
        <w:rPr>
          <w:rFonts w:ascii="Century Schoolbook" w:hAnsi="Century Schoolbook"/>
        </w:rPr>
        <w:t>.</w:t>
      </w:r>
      <w:r w:rsidR="00463428" w:rsidRPr="00463428">
        <w:rPr>
          <w:rFonts w:ascii="Century Schoolbook" w:hAnsi="Century Schoolbook"/>
        </w:rPr>
        <w:t xml:space="preserve"> The court relied on medical and legal sources defining the term as marked subnormal intelligence, lack of intelligence, </w:t>
      </w:r>
      <w:proofErr w:type="spellStart"/>
      <w:r w:rsidR="00463428" w:rsidRPr="00463428">
        <w:rPr>
          <w:rFonts w:ascii="Century Schoolbook" w:hAnsi="Century Schoolbook"/>
        </w:rPr>
        <w:t>moronity</w:t>
      </w:r>
      <w:proofErr w:type="spellEnd"/>
      <w:r w:rsidR="00463428" w:rsidRPr="00463428">
        <w:rPr>
          <w:rFonts w:ascii="Century Schoolbook" w:hAnsi="Century Schoolbook"/>
        </w:rPr>
        <w:t>, imbecility, and idiocy. “</w:t>
      </w:r>
      <w:r w:rsidR="00463428">
        <w:rPr>
          <w:rFonts w:ascii="Century Schoolbook" w:hAnsi="Century Schoolbook"/>
        </w:rPr>
        <w:t xml:space="preserve"> </w:t>
      </w:r>
      <w:r w:rsidR="00463428" w:rsidRPr="00463428">
        <w:rPr>
          <w:rFonts w:ascii="Century Schoolbook" w:hAnsi="Century Schoolbook"/>
        </w:rPr>
        <w:t>A mental defective, therefore, … is a person who has never possessed a normal degree of intellectual capacity, whereas in an insane person</w:t>
      </w:r>
      <w:r w:rsidR="00B6336B">
        <w:rPr>
          <w:rFonts w:ascii="Century Schoolbook" w:hAnsi="Century Schoolbook"/>
        </w:rPr>
        <w:t>,</w:t>
      </w:r>
      <w:r w:rsidR="00463428" w:rsidRPr="00463428">
        <w:rPr>
          <w:rFonts w:ascii="Century Schoolbook" w:hAnsi="Century Schoolbook"/>
        </w:rPr>
        <w:t xml:space="preserve"> faculties which were originally normal have been impaired by mental disease.”</w:t>
      </w:r>
      <w:r w:rsidR="00463428">
        <w:rPr>
          <w:rFonts w:ascii="Century Schoolbook" w:hAnsi="Century Schoolbook"/>
        </w:rPr>
        <w:t xml:space="preserve"> </w:t>
      </w:r>
      <w:r w:rsidR="00463428">
        <w:rPr>
          <w:rFonts w:ascii="Century Schoolbook" w:hAnsi="Century Schoolbook"/>
          <w:i/>
          <w:iCs/>
        </w:rPr>
        <w:t>Id</w:t>
      </w:r>
      <w:r w:rsidR="00463428">
        <w:rPr>
          <w:rFonts w:ascii="Century Schoolbook" w:hAnsi="Century Schoolbook"/>
        </w:rPr>
        <w:t>.</w:t>
      </w:r>
      <w:r w:rsidR="00463428" w:rsidRPr="00463428">
        <w:rPr>
          <w:rFonts w:ascii="Century Schoolbook" w:hAnsi="Century Schoolbook"/>
        </w:rPr>
        <w:t xml:space="preserve"> “If it is the desire of Congress to prohibit persons who have any history of mental illness from possessing guns, it can pass legislation to that effect, but we cannot read into this criminal statute an intent to do so.”</w:t>
      </w:r>
      <w:r w:rsidR="00463428">
        <w:rPr>
          <w:rFonts w:ascii="Century Schoolbook" w:hAnsi="Century Schoolbook"/>
        </w:rPr>
        <w:t xml:space="preserve"> </w:t>
      </w:r>
      <w:r w:rsidR="00463428">
        <w:rPr>
          <w:rFonts w:ascii="Century Schoolbook" w:hAnsi="Century Schoolbook"/>
          <w:i/>
          <w:iCs/>
        </w:rPr>
        <w:t>Id</w:t>
      </w:r>
      <w:r w:rsidR="00463428">
        <w:rPr>
          <w:rFonts w:ascii="Century Schoolbook" w:hAnsi="Century Schoolbook"/>
        </w:rPr>
        <w:t xml:space="preserve"> at 1125.</w:t>
      </w:r>
    </w:p>
    <w:p w14:paraId="102FDC80" w14:textId="7FDADAB8" w:rsidR="00463428" w:rsidRDefault="00463428" w:rsidP="00463428">
      <w:pPr>
        <w:spacing w:after="0" w:line="480" w:lineRule="auto"/>
        <w:ind w:firstLine="720"/>
        <w:jc w:val="center"/>
        <w:rPr>
          <w:rFonts w:ascii="Century Schoolbook" w:hAnsi="Century Schoolbook"/>
        </w:rPr>
      </w:pPr>
      <w:r w:rsidRPr="00463428">
        <w:rPr>
          <w:rFonts w:ascii="Century Schoolbook" w:hAnsi="Century Schoolbook"/>
          <w:b/>
          <w:bCs/>
          <w:u w:val="single"/>
        </w:rPr>
        <w:t xml:space="preserve">18 U.S.C. §922(g)(5) – </w:t>
      </w:r>
      <w:r w:rsidR="0073609B">
        <w:rPr>
          <w:rFonts w:ascii="Century Schoolbook" w:hAnsi="Century Schoolbook"/>
          <w:b/>
          <w:bCs/>
          <w:u w:val="single"/>
        </w:rPr>
        <w:t xml:space="preserve">Illegal Aliens </w:t>
      </w:r>
    </w:p>
    <w:p w14:paraId="6904FFEB" w14:textId="77777777" w:rsidR="00B6336B" w:rsidRDefault="0073609B" w:rsidP="0073609B">
      <w:pPr>
        <w:spacing w:after="0" w:line="480" w:lineRule="auto"/>
        <w:ind w:firstLine="720"/>
        <w:rPr>
          <w:rFonts w:ascii="Century Schoolbook" w:hAnsi="Century Schoolbook"/>
        </w:rPr>
      </w:pPr>
      <w:r>
        <w:rPr>
          <w:rFonts w:ascii="Century Schoolbook" w:hAnsi="Century Schoolbook"/>
        </w:rPr>
        <w:t xml:space="preserve">Since the inception of the Gun Control Act, it has been unlawful for illegal aliens to purchase, receive, or possess a firearm. As a side note, firearms offenses are an inadmissibility/deportability factor under immigration law. This prohibition has been upheld as lawful because illegal aliens are not among “the people” protected by the Second Amendment. </w:t>
      </w:r>
    </w:p>
    <w:p w14:paraId="413C7B24" w14:textId="5E010AB7" w:rsidR="0073609B" w:rsidRDefault="0073609B" w:rsidP="0073609B">
      <w:pPr>
        <w:spacing w:after="0" w:line="480" w:lineRule="auto"/>
        <w:ind w:firstLine="720"/>
        <w:rPr>
          <w:rFonts w:ascii="Century Schoolbook" w:hAnsi="Century Schoolbook"/>
        </w:rPr>
      </w:pPr>
      <w:r>
        <w:rPr>
          <w:rFonts w:ascii="Century Schoolbook" w:hAnsi="Century Schoolbook"/>
        </w:rPr>
        <w:lastRenderedPageBreak/>
        <w:t xml:space="preserve">The Fourth Circuit Court of Appeals has specifically held that </w:t>
      </w:r>
      <w:r w:rsidRPr="0073609B">
        <w:rPr>
          <w:rFonts w:ascii="Century Schoolbook" w:hAnsi="Century Schoolbook"/>
        </w:rPr>
        <w:t>“the scope of the Second Amendment does not extend to provide protection to illegal aliens, because illegal aliens are not law-abiding members of the political community and aliens who have entered the United States unlawfully have no more rights under the Second Amendment than do aliens outside of the United States seeking admittance.”</w:t>
      </w:r>
      <w:r>
        <w:rPr>
          <w:rFonts w:ascii="Century Schoolbook" w:hAnsi="Century Schoolbook"/>
        </w:rPr>
        <w:t xml:space="preserve"> </w:t>
      </w:r>
      <w:r w:rsidRPr="0073609B">
        <w:rPr>
          <w:rFonts w:ascii="Century Schoolbook" w:hAnsi="Century Schoolbook"/>
          <w:i/>
          <w:iCs/>
        </w:rPr>
        <w:t>U.S. v. Carpio-Leon</w:t>
      </w:r>
      <w:r w:rsidRPr="0073609B">
        <w:rPr>
          <w:rFonts w:ascii="Century Schoolbook" w:hAnsi="Century Schoolbook"/>
        </w:rPr>
        <w:t>, 701 F.3d 974, 975 (4th Cir. 2012).</w:t>
      </w:r>
    </w:p>
    <w:p w14:paraId="198D7FAD" w14:textId="51FFA589" w:rsidR="0073609B" w:rsidRDefault="0073609B" w:rsidP="0073609B">
      <w:pPr>
        <w:spacing w:after="0" w:line="480" w:lineRule="auto"/>
        <w:ind w:firstLine="720"/>
        <w:rPr>
          <w:rFonts w:ascii="Century Schoolbook" w:hAnsi="Century Schoolbook"/>
        </w:rPr>
      </w:pPr>
      <w:r>
        <w:rPr>
          <w:rFonts w:ascii="Century Schoolbook" w:hAnsi="Century Schoolbook"/>
        </w:rPr>
        <w:t>ATF regulations</w:t>
      </w:r>
      <w:r w:rsidR="00EC2517">
        <w:rPr>
          <w:rFonts w:ascii="Century Schoolbook" w:hAnsi="Century Schoolbook"/>
        </w:rPr>
        <w:t xml:space="preserve"> (</w:t>
      </w:r>
      <w:r w:rsidR="00EC2517" w:rsidRPr="00EC2517">
        <w:rPr>
          <w:rFonts w:ascii="Century Schoolbook" w:hAnsi="Century Schoolbook"/>
        </w:rPr>
        <w:t>27 C.F.R. § 478.11</w:t>
      </w:r>
      <w:r w:rsidR="00EC2517">
        <w:rPr>
          <w:rFonts w:ascii="Century Schoolbook" w:hAnsi="Century Schoolbook"/>
        </w:rPr>
        <w:t>)</w:t>
      </w:r>
      <w:r>
        <w:rPr>
          <w:rFonts w:ascii="Century Schoolbook" w:hAnsi="Century Schoolbook"/>
        </w:rPr>
        <w:t xml:space="preserve"> define “alien who is illegally or unlawfully in the United States” as follows:</w:t>
      </w:r>
    </w:p>
    <w:p w14:paraId="1E4406CC" w14:textId="77777777" w:rsidR="0073609B" w:rsidRDefault="0073609B" w:rsidP="00221DE0">
      <w:pPr>
        <w:spacing w:after="0" w:line="240" w:lineRule="auto"/>
        <w:ind w:firstLine="720"/>
        <w:rPr>
          <w:rFonts w:ascii="Century Schoolbook" w:hAnsi="Century Schoolbook"/>
        </w:rPr>
      </w:pPr>
      <w:r w:rsidRPr="0073609B">
        <w:rPr>
          <w:rFonts w:ascii="Century Schoolbook" w:hAnsi="Century Schoolbook"/>
        </w:rPr>
        <w:t>Aliens who are unlawfully in the United States are not in valid immigrant, nonimmigrant or parole status. The term includes any alien –</w:t>
      </w:r>
    </w:p>
    <w:p w14:paraId="10996392" w14:textId="77777777" w:rsidR="004148ED" w:rsidRDefault="004148ED" w:rsidP="00221DE0">
      <w:pPr>
        <w:spacing w:after="0" w:line="240" w:lineRule="auto"/>
        <w:ind w:firstLine="720"/>
        <w:rPr>
          <w:rFonts w:ascii="Century Schoolbook" w:hAnsi="Century Schoolbook"/>
        </w:rPr>
      </w:pPr>
    </w:p>
    <w:p w14:paraId="39461290" w14:textId="5ABA3DCD" w:rsidR="0073609B" w:rsidRPr="00221DE0" w:rsidRDefault="0073609B" w:rsidP="00221DE0">
      <w:pPr>
        <w:pStyle w:val="ListParagraph"/>
        <w:numPr>
          <w:ilvl w:val="0"/>
          <w:numId w:val="13"/>
        </w:numPr>
        <w:spacing w:after="0" w:line="240" w:lineRule="auto"/>
        <w:rPr>
          <w:rFonts w:ascii="Century Schoolbook" w:hAnsi="Century Schoolbook"/>
        </w:rPr>
      </w:pPr>
      <w:r w:rsidRPr="00221DE0">
        <w:rPr>
          <w:rFonts w:ascii="Century Schoolbook" w:hAnsi="Century Schoolbook"/>
        </w:rPr>
        <w:t>Who unlawfully entered the United States without inspection and authorization by an immigration officer and who has not been paroled into the United States under section 212(d)(5) of the Immigration and Nationality Act (INA);</w:t>
      </w:r>
    </w:p>
    <w:p w14:paraId="23DC6FD0" w14:textId="77777777" w:rsidR="00221DE0" w:rsidRPr="00221DE0" w:rsidRDefault="00221DE0" w:rsidP="00221DE0">
      <w:pPr>
        <w:pStyle w:val="ListParagraph"/>
        <w:spacing w:after="0" w:line="240" w:lineRule="auto"/>
        <w:ind w:left="1080"/>
        <w:rPr>
          <w:rFonts w:ascii="Century Schoolbook" w:hAnsi="Century Schoolbook"/>
        </w:rPr>
      </w:pPr>
    </w:p>
    <w:p w14:paraId="3F3FA3FC" w14:textId="52605FDC" w:rsidR="0073609B" w:rsidRPr="00221DE0" w:rsidRDefault="0073609B" w:rsidP="00221DE0">
      <w:pPr>
        <w:pStyle w:val="ListParagraph"/>
        <w:numPr>
          <w:ilvl w:val="0"/>
          <w:numId w:val="13"/>
        </w:numPr>
        <w:spacing w:after="0" w:line="240" w:lineRule="auto"/>
        <w:rPr>
          <w:rFonts w:ascii="Century Schoolbook" w:hAnsi="Century Schoolbook"/>
        </w:rPr>
      </w:pPr>
      <w:r w:rsidRPr="00221DE0">
        <w:rPr>
          <w:rFonts w:ascii="Century Schoolbook" w:hAnsi="Century Schoolbook"/>
        </w:rPr>
        <w:t>Who is a nonimmigrant and whose authorized period of stay has expired or who has violated the terms of the nonimmigrant category in which he or she was admitted;</w:t>
      </w:r>
    </w:p>
    <w:p w14:paraId="1E12CD72" w14:textId="77777777" w:rsidR="00221DE0" w:rsidRPr="00221DE0" w:rsidRDefault="00221DE0" w:rsidP="00221DE0">
      <w:pPr>
        <w:spacing w:after="0" w:line="240" w:lineRule="auto"/>
        <w:rPr>
          <w:rFonts w:ascii="Century Schoolbook" w:hAnsi="Century Schoolbook"/>
        </w:rPr>
      </w:pPr>
    </w:p>
    <w:p w14:paraId="6677748F" w14:textId="77777777" w:rsidR="00221DE0" w:rsidRDefault="0073609B" w:rsidP="00221DE0">
      <w:pPr>
        <w:pStyle w:val="ListParagraph"/>
        <w:numPr>
          <w:ilvl w:val="0"/>
          <w:numId w:val="13"/>
        </w:numPr>
        <w:spacing w:after="0" w:line="240" w:lineRule="auto"/>
        <w:rPr>
          <w:rFonts w:ascii="Century Schoolbook" w:hAnsi="Century Schoolbook"/>
        </w:rPr>
      </w:pPr>
      <w:r w:rsidRPr="00221DE0">
        <w:rPr>
          <w:rFonts w:ascii="Century Schoolbook" w:hAnsi="Century Schoolbook"/>
        </w:rPr>
        <w:t>Paroled under INA section 212(d)(5) whose authorized period of parole has expired or whose parole status has been terminated; or</w:t>
      </w:r>
    </w:p>
    <w:p w14:paraId="0FBF7396" w14:textId="77777777" w:rsidR="00221DE0" w:rsidRPr="00221DE0" w:rsidRDefault="00221DE0" w:rsidP="00221DE0">
      <w:pPr>
        <w:pStyle w:val="ListParagraph"/>
        <w:rPr>
          <w:rFonts w:ascii="Century Schoolbook" w:hAnsi="Century Schoolbook"/>
        </w:rPr>
      </w:pPr>
    </w:p>
    <w:p w14:paraId="75CC4CCA" w14:textId="1868D78B" w:rsidR="0073609B" w:rsidRDefault="0073609B" w:rsidP="00221DE0">
      <w:pPr>
        <w:pStyle w:val="ListParagraph"/>
        <w:numPr>
          <w:ilvl w:val="0"/>
          <w:numId w:val="13"/>
        </w:numPr>
        <w:spacing w:after="0" w:line="240" w:lineRule="auto"/>
        <w:rPr>
          <w:rFonts w:ascii="Century Schoolbook" w:hAnsi="Century Schoolbook"/>
        </w:rPr>
      </w:pPr>
      <w:r w:rsidRPr="00221DE0">
        <w:rPr>
          <w:rFonts w:ascii="Century Schoolbook" w:hAnsi="Century Schoolbook"/>
        </w:rPr>
        <w:t>Under an order of deportation, exclusion, or removal, or under an order to depart the United States voluntarily, whether or not he or she has left the United States.</w:t>
      </w:r>
    </w:p>
    <w:p w14:paraId="6B47D2B0" w14:textId="77777777" w:rsidR="00221DE0" w:rsidRPr="00221DE0" w:rsidRDefault="00221DE0" w:rsidP="00221DE0">
      <w:pPr>
        <w:spacing w:after="0" w:line="240" w:lineRule="auto"/>
        <w:rPr>
          <w:rFonts w:ascii="Century Schoolbook" w:hAnsi="Century Schoolbook"/>
        </w:rPr>
      </w:pPr>
    </w:p>
    <w:p w14:paraId="28E0A295" w14:textId="07354E29" w:rsidR="0073609B" w:rsidRPr="0073609B" w:rsidRDefault="0073609B" w:rsidP="0073609B">
      <w:pPr>
        <w:spacing w:after="0" w:line="480" w:lineRule="auto"/>
        <w:jc w:val="center"/>
        <w:rPr>
          <w:rFonts w:ascii="Century Schoolbook" w:hAnsi="Century Schoolbook"/>
          <w:b/>
          <w:bCs/>
          <w:u w:val="single"/>
        </w:rPr>
      </w:pPr>
      <w:r w:rsidRPr="0073609B">
        <w:rPr>
          <w:rFonts w:ascii="Century Schoolbook" w:hAnsi="Century Schoolbook"/>
          <w:b/>
          <w:bCs/>
          <w:u w:val="single"/>
        </w:rPr>
        <w:t xml:space="preserve">18 U.S.C. §922(g)(6) – </w:t>
      </w:r>
      <w:r w:rsidR="00EC2517">
        <w:rPr>
          <w:rFonts w:ascii="Century Schoolbook" w:hAnsi="Century Schoolbook"/>
          <w:b/>
          <w:bCs/>
          <w:u w:val="single"/>
        </w:rPr>
        <w:t>Dishonorable Discharge</w:t>
      </w:r>
    </w:p>
    <w:p w14:paraId="37E1F542" w14:textId="3B736229" w:rsidR="009E4BA1" w:rsidRDefault="008213CD" w:rsidP="00091298">
      <w:pPr>
        <w:spacing w:after="0" w:line="480" w:lineRule="auto"/>
        <w:ind w:firstLine="720"/>
        <w:rPr>
          <w:rFonts w:ascii="Century Schoolbook" w:hAnsi="Century Schoolbook"/>
        </w:rPr>
      </w:pPr>
      <w:r w:rsidRPr="008213CD">
        <w:rPr>
          <w:rFonts w:ascii="Century Schoolbook" w:hAnsi="Century Schoolbook"/>
        </w:rPr>
        <w:t xml:space="preserve">A Dishonorable Discharge (DD) is the most severe, punitive military discharge, handed down only by a general court-martial for serious, felony-level offenses like murder, sexual assault, or desertion. It signifies the ultimate disgrace in military service, resulting in the permanent forfeiture of all VA and military </w:t>
      </w:r>
      <w:r w:rsidRPr="008213CD">
        <w:rPr>
          <w:rFonts w:ascii="Century Schoolbook" w:hAnsi="Century Schoolbook"/>
        </w:rPr>
        <w:lastRenderedPageBreak/>
        <w:t>benefits, a ban on firearm ownership, and severe, lifelong civilian employment consequences.</w:t>
      </w:r>
    </w:p>
    <w:p w14:paraId="61F7F8E0" w14:textId="032C6024" w:rsidR="00B6336B" w:rsidRPr="00B6336B" w:rsidRDefault="008213CD" w:rsidP="00B6336B">
      <w:pPr>
        <w:spacing w:after="0" w:line="480" w:lineRule="auto"/>
        <w:ind w:firstLine="720"/>
        <w:rPr>
          <w:rFonts w:ascii="Century Schoolbook" w:hAnsi="Century Schoolbook"/>
        </w:rPr>
      </w:pPr>
      <w:r>
        <w:rPr>
          <w:rFonts w:ascii="Century Schoolbook" w:hAnsi="Century Schoolbook"/>
        </w:rPr>
        <w:t xml:space="preserve">There is not much case law on this provision, likely due to the fact that a Dishonorable Discharge is generally pursuant to some criminal charge, which would be subsumed under 922(g)(1). In </w:t>
      </w:r>
      <w:r>
        <w:rPr>
          <w:rFonts w:ascii="Century Schoolbook" w:hAnsi="Century Schoolbook"/>
          <w:i/>
          <w:iCs/>
        </w:rPr>
        <w:t>U.S. v. Jimenez</w:t>
      </w:r>
      <w:r>
        <w:rPr>
          <w:rFonts w:ascii="Century Schoolbook" w:hAnsi="Century Schoolbook"/>
        </w:rPr>
        <w:t>, the defendant moved to dismiss his indictment under 922(g)(6)</w:t>
      </w:r>
      <w:r w:rsidR="00913C4E">
        <w:rPr>
          <w:rFonts w:ascii="Century Schoolbook" w:hAnsi="Century Schoolbook"/>
        </w:rPr>
        <w:t xml:space="preserve"> arguing that the statute violates the Second Amendment on its face. The Court found that the Defendant was unable to meet the heavy burden for prevailing on a facial constitutional challenge. </w:t>
      </w:r>
      <w:r w:rsidR="00B6336B">
        <w:rPr>
          <w:rFonts w:ascii="Century Schoolbook" w:hAnsi="Century Schoolbook"/>
          <w:i/>
          <w:iCs/>
        </w:rPr>
        <w:t>U.S. v. Jimenez</w:t>
      </w:r>
      <w:r w:rsidR="00B6336B">
        <w:rPr>
          <w:rFonts w:ascii="Century Schoolbook" w:hAnsi="Century Schoolbook"/>
        </w:rPr>
        <w:t>,</w:t>
      </w:r>
      <w:r w:rsidR="00FA468F">
        <w:rPr>
          <w:rFonts w:ascii="Century Schoolbook" w:hAnsi="Century Schoolbook"/>
        </w:rPr>
        <w:t xml:space="preserve"> </w:t>
      </w:r>
      <w:r w:rsidR="00FA468F" w:rsidRPr="00FA468F">
        <w:rPr>
          <w:rFonts w:ascii="Century Schoolbook" w:hAnsi="Century Schoolbook"/>
        </w:rPr>
        <w:t>895 F.3d 228 (2d Cir. 2018)</w:t>
      </w:r>
      <w:r w:rsidR="00FA468F">
        <w:rPr>
          <w:rFonts w:ascii="Century Schoolbook" w:hAnsi="Century Schoolbook"/>
        </w:rPr>
        <w:t>.</w:t>
      </w:r>
    </w:p>
    <w:p w14:paraId="6082C8EC" w14:textId="163022B5" w:rsidR="00074E96" w:rsidRDefault="00074E96" w:rsidP="00074E96">
      <w:pPr>
        <w:spacing w:after="0" w:line="480" w:lineRule="auto"/>
        <w:ind w:firstLine="720"/>
        <w:jc w:val="center"/>
        <w:rPr>
          <w:rFonts w:ascii="Century Schoolbook" w:hAnsi="Century Schoolbook"/>
          <w:b/>
          <w:bCs/>
          <w:u w:val="single"/>
        </w:rPr>
      </w:pPr>
      <w:r w:rsidRPr="00074E96">
        <w:rPr>
          <w:rFonts w:ascii="Century Schoolbook" w:hAnsi="Century Schoolbook"/>
          <w:b/>
          <w:bCs/>
          <w:u w:val="single"/>
        </w:rPr>
        <w:t>18 U.S.C. §922(g)(</w:t>
      </w:r>
      <w:r>
        <w:rPr>
          <w:rFonts w:ascii="Century Schoolbook" w:hAnsi="Century Schoolbook"/>
          <w:b/>
          <w:bCs/>
          <w:u w:val="single"/>
        </w:rPr>
        <w:t>7</w:t>
      </w:r>
      <w:r w:rsidRPr="00074E96">
        <w:rPr>
          <w:rFonts w:ascii="Century Schoolbook" w:hAnsi="Century Schoolbook"/>
          <w:b/>
          <w:bCs/>
          <w:u w:val="single"/>
        </w:rPr>
        <w:t xml:space="preserve">) – </w:t>
      </w:r>
      <w:r>
        <w:rPr>
          <w:rFonts w:ascii="Century Schoolbook" w:hAnsi="Century Schoolbook"/>
          <w:b/>
          <w:bCs/>
          <w:u w:val="single"/>
        </w:rPr>
        <w:t>Renounced Citizenship</w:t>
      </w:r>
    </w:p>
    <w:p w14:paraId="35C0F6BA" w14:textId="55BF070A" w:rsidR="00074E96" w:rsidRDefault="00074E96" w:rsidP="00074E96">
      <w:pPr>
        <w:spacing w:after="0" w:line="480" w:lineRule="auto"/>
        <w:ind w:firstLine="720"/>
        <w:rPr>
          <w:rFonts w:ascii="Century Schoolbook" w:hAnsi="Century Schoolbook"/>
        </w:rPr>
      </w:pPr>
      <w:r>
        <w:rPr>
          <w:rFonts w:ascii="Century Schoolbook" w:hAnsi="Century Schoolbook"/>
        </w:rPr>
        <w:t xml:space="preserve">This provision was ostensibly enacted to address draft dodgers during the Vietnam War. During the war, thousands of men fled the United States </w:t>
      </w:r>
      <w:r w:rsidR="0005607F">
        <w:rPr>
          <w:rFonts w:ascii="Century Schoolbook" w:hAnsi="Century Schoolbook"/>
        </w:rPr>
        <w:t xml:space="preserve">to avoid the draft. President Ford introduced a clemency program in 1974, and President Carter granted a pardon in 1977. Many of these men have renounced their citizenship. There is no provision of law which allows an individual to reclaim their citizenship once they have abandoned it, and therefore, there is no remedy to restore the firearms rights of these individuals. </w:t>
      </w:r>
    </w:p>
    <w:p w14:paraId="08C762A9" w14:textId="1E4ADA1D" w:rsidR="0005607F" w:rsidRDefault="0005607F" w:rsidP="0005607F">
      <w:pPr>
        <w:spacing w:after="0" w:line="480" w:lineRule="auto"/>
        <w:ind w:firstLine="720"/>
        <w:jc w:val="center"/>
        <w:rPr>
          <w:rFonts w:ascii="Century Schoolbook" w:hAnsi="Century Schoolbook"/>
        </w:rPr>
      </w:pPr>
      <w:r w:rsidRPr="0005607F">
        <w:rPr>
          <w:rFonts w:ascii="Century Schoolbook" w:hAnsi="Century Schoolbook"/>
          <w:b/>
          <w:bCs/>
          <w:u w:val="single"/>
        </w:rPr>
        <w:t>18 U.S.C. §922(g)(8) – Restraining Orders</w:t>
      </w:r>
    </w:p>
    <w:p w14:paraId="2C97E9EA" w14:textId="37D618F2" w:rsidR="0005607F" w:rsidRDefault="0005607F" w:rsidP="0005607F">
      <w:pPr>
        <w:spacing w:after="0" w:line="480" w:lineRule="auto"/>
        <w:ind w:firstLine="720"/>
        <w:rPr>
          <w:rFonts w:ascii="Century Schoolbook" w:hAnsi="Century Schoolbook"/>
        </w:rPr>
      </w:pPr>
      <w:r>
        <w:rPr>
          <w:rFonts w:ascii="Century Schoolbook" w:hAnsi="Century Schoolbook"/>
        </w:rPr>
        <w:t xml:space="preserve">Much ink has been spilled discussing the effect of restraining orders on an  individual’s firearms rights. Generally, </w:t>
      </w:r>
      <w:r w:rsidRPr="0005607F">
        <w:rPr>
          <w:rFonts w:ascii="Century Schoolbook" w:hAnsi="Century Schoolbook"/>
        </w:rPr>
        <w:t>18 U.S.C. §922(g)(8)</w:t>
      </w:r>
      <w:r>
        <w:rPr>
          <w:rFonts w:ascii="Century Schoolbook" w:hAnsi="Century Schoolbook"/>
        </w:rPr>
        <w:t xml:space="preserve"> prohibits the possession of a firearm by a person who is subject to a restraining order. </w:t>
      </w:r>
      <w:r w:rsidR="00CD213A">
        <w:rPr>
          <w:rFonts w:ascii="Century Schoolbook" w:hAnsi="Century Schoolbook"/>
        </w:rPr>
        <w:t>However, s</w:t>
      </w:r>
      <w:r>
        <w:rPr>
          <w:rFonts w:ascii="Century Schoolbook" w:hAnsi="Century Schoolbook"/>
        </w:rPr>
        <w:t xml:space="preserve">ome important limitations </w:t>
      </w:r>
      <w:r w:rsidR="00316037">
        <w:rPr>
          <w:rFonts w:ascii="Century Schoolbook" w:hAnsi="Century Schoolbook"/>
        </w:rPr>
        <w:t>apply</w:t>
      </w:r>
      <w:r>
        <w:rPr>
          <w:rFonts w:ascii="Century Schoolbook" w:hAnsi="Century Schoolbook"/>
        </w:rPr>
        <w:t>.</w:t>
      </w:r>
    </w:p>
    <w:p w14:paraId="71B376C6" w14:textId="3499BCA5" w:rsidR="0005607F" w:rsidRDefault="0005607F" w:rsidP="0005607F">
      <w:pPr>
        <w:spacing w:after="0" w:line="480" w:lineRule="auto"/>
        <w:ind w:firstLine="720"/>
        <w:rPr>
          <w:rFonts w:ascii="Century Schoolbook" w:hAnsi="Century Schoolbook"/>
        </w:rPr>
      </w:pPr>
      <w:r>
        <w:rPr>
          <w:rFonts w:ascii="Century Schoolbook" w:hAnsi="Century Schoolbook"/>
        </w:rPr>
        <w:lastRenderedPageBreak/>
        <w:t xml:space="preserve">First, </w:t>
      </w:r>
      <w:r w:rsidR="00862429">
        <w:rPr>
          <w:rFonts w:ascii="Century Schoolbook" w:hAnsi="Century Schoolbook"/>
        </w:rPr>
        <w:t>d</w:t>
      </w:r>
      <w:r w:rsidR="00862429" w:rsidRPr="00862429">
        <w:rPr>
          <w:rFonts w:ascii="Century Schoolbook" w:hAnsi="Century Schoolbook"/>
        </w:rPr>
        <w:t xml:space="preserve">ue process requires </w:t>
      </w:r>
      <w:r w:rsidR="00316037">
        <w:rPr>
          <w:rFonts w:ascii="Century Schoolbook" w:hAnsi="Century Schoolbook"/>
        </w:rPr>
        <w:t>the subject of the restraining order must have received actual notice of, and had an opportunity to participate in, the hearing. This raises serious questions about the constitutionality of ex-</w:t>
      </w:r>
      <w:proofErr w:type="spellStart"/>
      <w:r w:rsidR="00316037">
        <w:rPr>
          <w:rFonts w:ascii="Century Schoolbook" w:hAnsi="Century Schoolbook"/>
        </w:rPr>
        <w:t>parte</w:t>
      </w:r>
      <w:proofErr w:type="spellEnd"/>
      <w:r w:rsidR="00316037">
        <w:rPr>
          <w:rFonts w:ascii="Century Schoolbook" w:hAnsi="Century Schoolbook"/>
        </w:rPr>
        <w:t xml:space="preserve"> restraining</w:t>
      </w:r>
      <w:r w:rsidR="00257E5D">
        <w:rPr>
          <w:rFonts w:ascii="Century Schoolbook" w:hAnsi="Century Schoolbook"/>
        </w:rPr>
        <w:t xml:space="preserve"> order hearing</w:t>
      </w:r>
      <w:r w:rsidR="0086174E">
        <w:rPr>
          <w:rFonts w:ascii="Century Schoolbook" w:hAnsi="Century Schoolbook"/>
        </w:rPr>
        <w:t>s</w:t>
      </w:r>
      <w:r w:rsidR="00257E5D">
        <w:rPr>
          <w:rFonts w:ascii="Century Schoolbook" w:hAnsi="Century Schoolbook"/>
        </w:rPr>
        <w:t xml:space="preserve"> in North Carolina. Generally, these hearings are held without any notice to the defendant, and with no opportunity for the defendant to be heard. </w:t>
      </w:r>
    </w:p>
    <w:p w14:paraId="6A7CC2AB" w14:textId="1566DF94" w:rsidR="00A93690" w:rsidRDefault="00257E5D" w:rsidP="00A93690">
      <w:pPr>
        <w:spacing w:after="0" w:line="480" w:lineRule="auto"/>
        <w:ind w:firstLine="720"/>
        <w:rPr>
          <w:rFonts w:ascii="Century Schoolbook" w:hAnsi="Century Schoolbook"/>
        </w:rPr>
      </w:pPr>
      <w:r>
        <w:rPr>
          <w:rFonts w:ascii="Century Schoolbook" w:hAnsi="Century Schoolbook"/>
        </w:rPr>
        <w:t xml:space="preserve">Next, the order must restrain the defendant from harassing, stalking, or threatening an intimate partner or child, or engaging in other conduct which would place an intimate partner or child in reasonable fear of bodily injury. </w:t>
      </w:r>
      <w:r w:rsidRPr="00257E5D">
        <w:rPr>
          <w:rFonts w:ascii="Century Schoolbook" w:hAnsi="Century Schoolbook"/>
        </w:rPr>
        <w:t>18 U.S.C. §92</w:t>
      </w:r>
      <w:r>
        <w:rPr>
          <w:rFonts w:ascii="Century Schoolbook" w:hAnsi="Century Schoolbook"/>
        </w:rPr>
        <w:t>1</w:t>
      </w:r>
      <w:r w:rsidRPr="00257E5D">
        <w:rPr>
          <w:rFonts w:ascii="Century Schoolbook" w:hAnsi="Century Schoolbook"/>
        </w:rPr>
        <w:t>(</w:t>
      </w:r>
      <w:r>
        <w:rPr>
          <w:rFonts w:ascii="Century Schoolbook" w:hAnsi="Century Schoolbook"/>
        </w:rPr>
        <w:t>a</w:t>
      </w:r>
      <w:r w:rsidRPr="00257E5D">
        <w:rPr>
          <w:rFonts w:ascii="Century Schoolbook" w:hAnsi="Century Schoolbook"/>
        </w:rPr>
        <w:t>)(</w:t>
      </w:r>
      <w:r>
        <w:rPr>
          <w:rFonts w:ascii="Century Schoolbook" w:hAnsi="Century Schoolbook"/>
        </w:rPr>
        <w:t>32</w:t>
      </w:r>
      <w:r w:rsidRPr="00257E5D">
        <w:rPr>
          <w:rFonts w:ascii="Century Schoolbook" w:hAnsi="Century Schoolbook"/>
        </w:rPr>
        <w:t>)</w:t>
      </w:r>
      <w:r>
        <w:rPr>
          <w:rFonts w:ascii="Century Schoolbook" w:hAnsi="Century Schoolbook"/>
        </w:rPr>
        <w:t xml:space="preserve"> defines “intimate partner” as “</w:t>
      </w:r>
      <w:r w:rsidRPr="00257E5D">
        <w:rPr>
          <w:rFonts w:ascii="Century Schoolbook" w:hAnsi="Century Schoolbook"/>
        </w:rPr>
        <w:t>the spouse of the person, a former spouse of the person, an individual who is a parent of a child of the person, and an individual who cohabitates or has cohabited with the person.</w:t>
      </w:r>
      <w:r w:rsidR="00A93690">
        <w:rPr>
          <w:rFonts w:ascii="Century Schoolbook" w:hAnsi="Century Schoolbook"/>
        </w:rPr>
        <w:t xml:space="preserve">” N.C.G.S. </w:t>
      </w:r>
      <w:r w:rsidR="00A93690" w:rsidRPr="00A93690">
        <w:rPr>
          <w:rFonts w:ascii="Century Schoolbook" w:hAnsi="Century Schoolbook"/>
        </w:rPr>
        <w:t>§ 50B-3</w:t>
      </w:r>
      <w:r w:rsidR="00A93690">
        <w:rPr>
          <w:rFonts w:ascii="Century Schoolbook" w:hAnsi="Century Schoolbook"/>
        </w:rPr>
        <w:t>(a)(9) allows a District Court Judge to order a Defendant to refrain from t</w:t>
      </w:r>
      <w:r w:rsidR="00A93690" w:rsidRPr="00A93690">
        <w:rPr>
          <w:rFonts w:ascii="Century Schoolbook" w:hAnsi="Century Schoolbook"/>
        </w:rPr>
        <w:t>hreatening, abusing, or following the other party</w:t>
      </w:r>
      <w:r w:rsidR="00A93690">
        <w:rPr>
          <w:rFonts w:ascii="Century Schoolbook" w:hAnsi="Century Schoolbook"/>
        </w:rPr>
        <w:t>, h</w:t>
      </w:r>
      <w:r w:rsidR="00A93690" w:rsidRPr="00A93690">
        <w:rPr>
          <w:rFonts w:ascii="Century Schoolbook" w:hAnsi="Century Schoolbook"/>
        </w:rPr>
        <w:t>arassing the other party, including by telephone, visiting the home or workplace, or other means</w:t>
      </w:r>
      <w:r w:rsidR="00A93690">
        <w:rPr>
          <w:rFonts w:ascii="Century Schoolbook" w:hAnsi="Century Schoolbook"/>
        </w:rPr>
        <w:t xml:space="preserve">, </w:t>
      </w:r>
      <w:r w:rsidR="00684203">
        <w:rPr>
          <w:rFonts w:ascii="Century Schoolbook" w:hAnsi="Century Schoolbook"/>
        </w:rPr>
        <w:t>or otherwise interfering with the other party.</w:t>
      </w:r>
      <w:r w:rsidR="0086174E">
        <w:rPr>
          <w:rFonts w:ascii="Century Schoolbook" w:hAnsi="Century Schoolbook"/>
        </w:rPr>
        <w:t xml:space="preserve"> I</w:t>
      </w:r>
      <w:r w:rsidR="00684203">
        <w:rPr>
          <w:rFonts w:ascii="Century Schoolbook" w:hAnsi="Century Schoolbook"/>
        </w:rPr>
        <w:t xml:space="preserve">t appears that a </w:t>
      </w:r>
      <w:r w:rsidR="0086174E">
        <w:rPr>
          <w:rFonts w:ascii="Century Schoolbook" w:hAnsi="Century Schoolbook"/>
        </w:rPr>
        <w:t>v</w:t>
      </w:r>
      <w:r w:rsidR="00684203">
        <w:rPr>
          <w:rFonts w:ascii="Century Schoolbook" w:hAnsi="Century Schoolbook"/>
        </w:rPr>
        <w:t xml:space="preserve">alid 50(b) Order under North Carolina law would constitute a prohibitor under </w:t>
      </w:r>
      <w:r w:rsidR="00684203" w:rsidRPr="00684203">
        <w:rPr>
          <w:rFonts w:ascii="Century Schoolbook" w:hAnsi="Century Schoolbook"/>
        </w:rPr>
        <w:t>18 U.S.C. §922(g)(8)</w:t>
      </w:r>
      <w:r w:rsidR="00684203">
        <w:rPr>
          <w:rFonts w:ascii="Century Schoolbook" w:hAnsi="Century Schoolbook"/>
        </w:rPr>
        <w:t>.</w:t>
      </w:r>
    </w:p>
    <w:p w14:paraId="2C3D346E" w14:textId="458470B6" w:rsidR="00684203" w:rsidRDefault="00684203" w:rsidP="00684203">
      <w:pPr>
        <w:spacing w:after="0" w:line="480" w:lineRule="auto"/>
        <w:ind w:firstLine="720"/>
        <w:rPr>
          <w:rFonts w:ascii="Century Schoolbook" w:hAnsi="Century Schoolbook"/>
        </w:rPr>
      </w:pPr>
      <w:r>
        <w:rPr>
          <w:rFonts w:ascii="Century Schoolbook" w:hAnsi="Century Schoolbook"/>
        </w:rPr>
        <w:t>Finally, the order must include a finding that the individual</w:t>
      </w:r>
      <w:r w:rsidRPr="00684203">
        <w:rPr>
          <w:rFonts w:ascii="Century Schoolbook" w:hAnsi="Century Schoolbook"/>
        </w:rPr>
        <w:t xml:space="preserve"> represents a credible threat to the physical safety of such intimate partner or child; or</w:t>
      </w:r>
      <w:r>
        <w:rPr>
          <w:rFonts w:ascii="Century Schoolbook" w:hAnsi="Century Schoolbook"/>
        </w:rPr>
        <w:t xml:space="preserve"> </w:t>
      </w:r>
      <w:r w:rsidRPr="00684203">
        <w:rPr>
          <w:rFonts w:ascii="Century Schoolbook" w:hAnsi="Century Schoolbook"/>
        </w:rPr>
        <w:t>by its terms explicitly prohibits the use, attempted use, or threatened use of physical force against such intimate partner or child that would reasonably be expected to cause bodily injury</w:t>
      </w:r>
      <w:r>
        <w:rPr>
          <w:rFonts w:ascii="Century Schoolbook" w:hAnsi="Century Schoolbook"/>
        </w:rPr>
        <w:t xml:space="preserve">. Again, the language of </w:t>
      </w:r>
      <w:r w:rsidRPr="00684203">
        <w:rPr>
          <w:rFonts w:ascii="Century Schoolbook" w:hAnsi="Century Schoolbook"/>
        </w:rPr>
        <w:t>N.C.G.S. § 50B-3(a)(9)</w:t>
      </w:r>
      <w:r>
        <w:rPr>
          <w:rFonts w:ascii="Century Schoolbook" w:hAnsi="Century Schoolbook"/>
        </w:rPr>
        <w:t xml:space="preserve"> suggests </w:t>
      </w:r>
      <w:r w:rsidRPr="00684203">
        <w:rPr>
          <w:rFonts w:ascii="Century Schoolbook" w:hAnsi="Century Schoolbook"/>
        </w:rPr>
        <w:t xml:space="preserve">that a </w:t>
      </w:r>
      <w:r w:rsidR="0086174E">
        <w:rPr>
          <w:rFonts w:ascii="Century Schoolbook" w:hAnsi="Century Schoolbook"/>
        </w:rPr>
        <w:t>v</w:t>
      </w:r>
      <w:r w:rsidRPr="00684203">
        <w:rPr>
          <w:rFonts w:ascii="Century Schoolbook" w:hAnsi="Century Schoolbook"/>
        </w:rPr>
        <w:t xml:space="preserve">alid </w:t>
      </w:r>
      <w:r w:rsidRPr="00684203">
        <w:rPr>
          <w:rFonts w:ascii="Century Schoolbook" w:hAnsi="Century Schoolbook"/>
        </w:rPr>
        <w:lastRenderedPageBreak/>
        <w:t>50(b) Order under North Carolina law would constitute a prohibitor under 18 U.S.C. §922(g)(8).</w:t>
      </w:r>
    </w:p>
    <w:p w14:paraId="5CAAB3A4" w14:textId="0F336C6B" w:rsidR="00CE46B5" w:rsidRDefault="00CE46B5" w:rsidP="00684203">
      <w:pPr>
        <w:spacing w:after="0" w:line="480" w:lineRule="auto"/>
        <w:ind w:firstLine="720"/>
        <w:rPr>
          <w:rFonts w:ascii="Century Schoolbook" w:hAnsi="Century Schoolbook"/>
        </w:rPr>
      </w:pPr>
      <w:r>
        <w:rPr>
          <w:rFonts w:ascii="Century Schoolbook" w:hAnsi="Century Schoolbook"/>
        </w:rPr>
        <w:t xml:space="preserve">Because restraining orders which have been issued under Chapter 50 are only valid for one year (unless they are renewed), this prohibitor expires at the same time as the underlying order, because </w:t>
      </w:r>
      <w:r w:rsidRPr="00CE46B5">
        <w:rPr>
          <w:rFonts w:ascii="Century Schoolbook" w:hAnsi="Century Schoolbook"/>
        </w:rPr>
        <w:t>18 U.S.C. §922(g)(8)</w:t>
      </w:r>
      <w:r>
        <w:rPr>
          <w:rFonts w:ascii="Century Schoolbook" w:hAnsi="Century Schoolbook"/>
        </w:rPr>
        <w:t xml:space="preserve"> states that the individual must be “subject to” a court order to be considered a prohibited person. Once the order has expired, the individual is no longer subject to it. </w:t>
      </w:r>
    </w:p>
    <w:p w14:paraId="1A052FA5" w14:textId="77777777" w:rsidR="0086174E" w:rsidRPr="0086174E" w:rsidRDefault="0086174E" w:rsidP="00BA5291">
      <w:pPr>
        <w:spacing w:after="0" w:line="480" w:lineRule="auto"/>
        <w:ind w:firstLine="720"/>
        <w:rPr>
          <w:rFonts w:ascii="Century Schoolbook" w:hAnsi="Century Schoolbook"/>
        </w:rPr>
      </w:pPr>
      <w:r w:rsidRPr="0086174E">
        <w:rPr>
          <w:rFonts w:ascii="Century Schoolbook" w:hAnsi="Century Schoolbook"/>
        </w:rPr>
        <w:t xml:space="preserve">In </w:t>
      </w:r>
      <w:r w:rsidRPr="0086174E">
        <w:rPr>
          <w:rFonts w:ascii="Century Schoolbook" w:hAnsi="Century Schoolbook"/>
          <w:i/>
          <w:iCs/>
        </w:rPr>
        <w:t>United States v. Rahimi</w:t>
      </w:r>
      <w:r w:rsidRPr="0086174E">
        <w:rPr>
          <w:rFonts w:ascii="Century Schoolbook" w:hAnsi="Century Schoolbook"/>
        </w:rPr>
        <w:t xml:space="preserve"> (2024), the Supreme Court upheld the ban in 18 U.S.C.A. § 922(g)(8)(C)(</w:t>
      </w:r>
      <w:proofErr w:type="spellStart"/>
      <w:r w:rsidRPr="0086174E">
        <w:rPr>
          <w:rFonts w:ascii="Century Schoolbook" w:hAnsi="Century Schoolbook"/>
        </w:rPr>
        <w:t>i</w:t>
      </w:r>
      <w:proofErr w:type="spellEnd"/>
      <w:r w:rsidRPr="0086174E">
        <w:rPr>
          <w:rFonts w:ascii="Century Schoolbook" w:hAnsi="Century Schoolbook"/>
        </w:rPr>
        <w:t>) on possession of a firearm by a person subject to a domestic violence protection order. In the 8-1 decision, Chief Justice John Roberts held:</w:t>
      </w:r>
    </w:p>
    <w:p w14:paraId="5B71E000" w14:textId="7D52E8A9" w:rsidR="0086174E" w:rsidRDefault="0086174E" w:rsidP="00BA5291">
      <w:pPr>
        <w:spacing w:after="0" w:line="240" w:lineRule="auto"/>
        <w:ind w:left="360" w:right="360" w:firstLine="720"/>
        <w:rPr>
          <w:rFonts w:ascii="Century Schoolbook" w:hAnsi="Century Schoolbook"/>
        </w:rPr>
      </w:pPr>
      <w:r w:rsidRPr="0086174E">
        <w:rPr>
          <w:rFonts w:ascii="Century Schoolbook" w:hAnsi="Century Schoolbook"/>
        </w:rPr>
        <w:t>When a restraining order contains a finding that an individual poses a credible threat to the physical safety of an intimate partner, that individual may—consistent with the Second Amendment—be banned from possessing firearms while the order is in effect. Since the founding, our Nation's firearm laws have included provisions preventing individuals who threaten physical harm to others from misusing firearms. As applied to the facts of this case, Section 922(g)(8) fits comfortably within this tradition.</w:t>
      </w:r>
    </w:p>
    <w:p w14:paraId="3D32B2ED" w14:textId="77777777" w:rsidR="0086174E" w:rsidRDefault="0086174E" w:rsidP="0086174E">
      <w:pPr>
        <w:spacing w:after="0" w:line="240" w:lineRule="auto"/>
        <w:ind w:right="360"/>
        <w:rPr>
          <w:rFonts w:ascii="Century Schoolbook" w:hAnsi="Century Schoolbook"/>
        </w:rPr>
      </w:pPr>
    </w:p>
    <w:p w14:paraId="7213107E" w14:textId="1CE5EF61" w:rsidR="0086174E" w:rsidRDefault="0086174E" w:rsidP="002072F9">
      <w:pPr>
        <w:spacing w:after="0" w:line="240" w:lineRule="auto"/>
        <w:ind w:right="360"/>
        <w:rPr>
          <w:rFonts w:ascii="Century Schoolbook" w:hAnsi="Century Schoolbook"/>
        </w:rPr>
      </w:pPr>
      <w:r w:rsidRPr="0086174E">
        <w:rPr>
          <w:rFonts w:ascii="Century Schoolbook" w:hAnsi="Century Schoolbook"/>
          <w:i/>
          <w:iCs/>
        </w:rPr>
        <w:t>United States v. Rahimi</w:t>
      </w:r>
      <w:r w:rsidRPr="0086174E">
        <w:rPr>
          <w:rFonts w:ascii="Century Schoolbook" w:hAnsi="Century Schoolbook"/>
        </w:rPr>
        <w:t>, 602 U.S. 680, 690, 144 S. Ct. 1889, 1896-1897, 219 L. Ed. 2d 351 (2024).</w:t>
      </w:r>
      <w:r w:rsidR="00F6141F">
        <w:rPr>
          <w:rFonts w:ascii="Century Schoolbook" w:hAnsi="Century Schoolbook"/>
        </w:rPr>
        <w:t xml:space="preserve"> </w:t>
      </w:r>
    </w:p>
    <w:p w14:paraId="1BC20E26" w14:textId="77777777" w:rsidR="002072F9" w:rsidRDefault="002072F9" w:rsidP="002072F9">
      <w:pPr>
        <w:spacing w:after="0" w:line="240" w:lineRule="auto"/>
        <w:ind w:right="360"/>
        <w:rPr>
          <w:rFonts w:ascii="Century Schoolbook" w:hAnsi="Century Schoolbook"/>
        </w:rPr>
      </w:pPr>
    </w:p>
    <w:p w14:paraId="2E96BDE6" w14:textId="46422326" w:rsidR="002072F9" w:rsidRPr="00F677D3" w:rsidRDefault="002072F9" w:rsidP="005A143C">
      <w:pPr>
        <w:spacing w:after="0" w:line="480" w:lineRule="auto"/>
        <w:ind w:right="360"/>
        <w:rPr>
          <w:rFonts w:ascii="Century Schoolbook" w:hAnsi="Century Schoolbook"/>
        </w:rPr>
      </w:pPr>
      <w:r>
        <w:rPr>
          <w:rFonts w:ascii="Century Schoolbook" w:hAnsi="Century Schoolbook"/>
        </w:rPr>
        <w:tab/>
      </w:r>
      <w:r w:rsidR="00B4749A">
        <w:rPr>
          <w:rFonts w:ascii="Century Schoolbook" w:hAnsi="Century Schoolbook"/>
        </w:rPr>
        <w:t xml:space="preserve">The Court, however, declined to rule on </w:t>
      </w:r>
      <w:r w:rsidR="00132604">
        <w:rPr>
          <w:rFonts w:ascii="Century Schoolbook" w:hAnsi="Century Schoolbook"/>
        </w:rPr>
        <w:t xml:space="preserve">the constitutionality of </w:t>
      </w:r>
      <w:r w:rsidR="005A143C">
        <w:rPr>
          <w:rFonts w:ascii="Century Schoolbook" w:hAnsi="Century Schoolbook"/>
        </w:rPr>
        <w:t>1</w:t>
      </w:r>
      <w:r w:rsidR="005A143C" w:rsidRPr="005A143C">
        <w:rPr>
          <w:rFonts w:ascii="Century Schoolbook" w:hAnsi="Century Schoolbook"/>
        </w:rPr>
        <w:t>8 U.S.C.A. § 922(g)(8)(C)(i</w:t>
      </w:r>
      <w:r w:rsidR="005A143C">
        <w:rPr>
          <w:rFonts w:ascii="Century Schoolbook" w:hAnsi="Century Schoolbook"/>
        </w:rPr>
        <w:t>i</w:t>
      </w:r>
      <w:r w:rsidR="005A143C" w:rsidRPr="005A143C">
        <w:rPr>
          <w:rFonts w:ascii="Century Schoolbook" w:hAnsi="Century Schoolbook"/>
        </w:rPr>
        <w:t>)</w:t>
      </w:r>
      <w:r w:rsidR="005A143C">
        <w:rPr>
          <w:rFonts w:ascii="Century Schoolbook" w:hAnsi="Century Schoolbook"/>
        </w:rPr>
        <w:t xml:space="preserve"> which </w:t>
      </w:r>
      <w:r w:rsidR="00E01AD9">
        <w:rPr>
          <w:rFonts w:ascii="Century Schoolbook" w:hAnsi="Century Schoolbook"/>
        </w:rPr>
        <w:t xml:space="preserve">applies to an order that </w:t>
      </w:r>
      <w:r w:rsidR="005A143C">
        <w:rPr>
          <w:rFonts w:ascii="Century Schoolbook" w:hAnsi="Century Schoolbook"/>
        </w:rPr>
        <w:t xml:space="preserve"> </w:t>
      </w:r>
      <w:r w:rsidR="00E01AD9" w:rsidRPr="00E01AD9">
        <w:rPr>
          <w:rFonts w:ascii="Century Schoolbook" w:hAnsi="Century Schoolbook"/>
        </w:rPr>
        <w:t>“by its terms explicitly prohibits the use, attempted use, or threatened use of physical force against such intimate partner or child that would reasonably be expected to cause bodily injury ….”</w:t>
      </w:r>
      <w:r w:rsidR="00F677D3">
        <w:rPr>
          <w:rFonts w:ascii="Century Schoolbook" w:hAnsi="Century Schoolbook"/>
        </w:rPr>
        <w:t xml:space="preserve"> </w:t>
      </w:r>
      <w:r w:rsidR="00F677D3">
        <w:rPr>
          <w:rFonts w:ascii="Century Schoolbook" w:hAnsi="Century Schoolbook"/>
          <w:i/>
          <w:iCs/>
        </w:rPr>
        <w:t>Id.</w:t>
      </w:r>
      <w:r w:rsidR="00F677D3">
        <w:rPr>
          <w:rFonts w:ascii="Century Schoolbook" w:hAnsi="Century Schoolbook"/>
        </w:rPr>
        <w:t xml:space="preserve"> at 693.</w:t>
      </w:r>
    </w:p>
    <w:p w14:paraId="5A68E129" w14:textId="77777777" w:rsidR="002072F9" w:rsidRDefault="002072F9" w:rsidP="002072F9">
      <w:pPr>
        <w:spacing w:after="0" w:line="240" w:lineRule="auto"/>
        <w:ind w:right="360"/>
        <w:rPr>
          <w:rFonts w:ascii="Century Schoolbook" w:hAnsi="Century Schoolbook"/>
        </w:rPr>
      </w:pPr>
    </w:p>
    <w:p w14:paraId="7FEDA668" w14:textId="0561F333" w:rsidR="00CE46B5" w:rsidRDefault="00762D48" w:rsidP="002A0E13">
      <w:pPr>
        <w:spacing w:after="0" w:line="480" w:lineRule="auto"/>
        <w:ind w:right="360"/>
        <w:rPr>
          <w:rFonts w:ascii="Century Schoolbook" w:hAnsi="Century Schoolbook"/>
        </w:rPr>
      </w:pPr>
      <w:r>
        <w:rPr>
          <w:rFonts w:ascii="Century Schoolbook" w:hAnsi="Century Schoolbook"/>
        </w:rPr>
        <w:lastRenderedPageBreak/>
        <w:tab/>
      </w:r>
      <w:r w:rsidR="00CE46B5" w:rsidRPr="00CE46B5">
        <w:rPr>
          <w:rFonts w:ascii="Century Schoolbook" w:hAnsi="Century Schoolbook"/>
          <w:b/>
          <w:bCs/>
          <w:u w:val="single"/>
        </w:rPr>
        <w:t>18 U.S.C. §922(g)(</w:t>
      </w:r>
      <w:r w:rsidR="00CE46B5">
        <w:rPr>
          <w:rFonts w:ascii="Century Schoolbook" w:hAnsi="Century Schoolbook"/>
          <w:b/>
          <w:bCs/>
          <w:u w:val="single"/>
        </w:rPr>
        <w:t>9</w:t>
      </w:r>
      <w:r w:rsidR="00CE46B5" w:rsidRPr="00CE46B5">
        <w:rPr>
          <w:rFonts w:ascii="Century Schoolbook" w:hAnsi="Century Schoolbook"/>
          <w:b/>
          <w:bCs/>
          <w:u w:val="single"/>
        </w:rPr>
        <w:t xml:space="preserve">) – </w:t>
      </w:r>
      <w:r w:rsidR="00CE46B5">
        <w:rPr>
          <w:rFonts w:ascii="Century Schoolbook" w:hAnsi="Century Schoolbook"/>
          <w:b/>
          <w:bCs/>
          <w:u w:val="single"/>
        </w:rPr>
        <w:t>Misdemeanor Crimes of Domestic Violence</w:t>
      </w:r>
    </w:p>
    <w:p w14:paraId="77EBF90C" w14:textId="28697539" w:rsidR="00CE46B5" w:rsidRDefault="00CE46B5" w:rsidP="00CE46B5">
      <w:pPr>
        <w:spacing w:after="0" w:line="480" w:lineRule="auto"/>
        <w:ind w:firstLine="720"/>
        <w:rPr>
          <w:rFonts w:ascii="Century Schoolbook" w:hAnsi="Century Schoolbook"/>
        </w:rPr>
      </w:pPr>
      <w:r>
        <w:rPr>
          <w:rFonts w:ascii="Century Schoolbook" w:hAnsi="Century Schoolbook"/>
        </w:rPr>
        <w:t>Much like restraining orders, the intersection of gun rights and misdemeanor crimes of domestic violence represents an enormous subset of law which cannot be adequately covered in this seminar. However, there are some fundamental concepts which you should be aware of.</w:t>
      </w:r>
    </w:p>
    <w:p w14:paraId="3C7F0D27" w14:textId="3D605642" w:rsidR="00F73148" w:rsidRPr="00F73148" w:rsidRDefault="00CE46B5" w:rsidP="00F73148">
      <w:pPr>
        <w:spacing w:after="0" w:line="480" w:lineRule="auto"/>
        <w:rPr>
          <w:rFonts w:ascii="Century Schoolbook" w:hAnsi="Century Schoolbook"/>
        </w:rPr>
      </w:pPr>
      <w:r>
        <w:rPr>
          <w:rFonts w:ascii="Century Schoolbook" w:hAnsi="Century Schoolbook"/>
        </w:rPr>
        <w:tab/>
      </w:r>
      <w:r w:rsidRPr="00F73148">
        <w:rPr>
          <w:rFonts w:ascii="Century Schoolbook" w:hAnsi="Century Schoolbook"/>
        </w:rPr>
        <w:t>18 U.S.C. §921(</w:t>
      </w:r>
      <w:r w:rsidR="00F73148" w:rsidRPr="00F73148">
        <w:rPr>
          <w:rFonts w:ascii="Century Schoolbook" w:hAnsi="Century Schoolbook"/>
        </w:rPr>
        <w:t>a</w:t>
      </w:r>
      <w:r w:rsidRPr="00F73148">
        <w:rPr>
          <w:rFonts w:ascii="Century Schoolbook" w:hAnsi="Century Schoolbook"/>
        </w:rPr>
        <w:t>)(</w:t>
      </w:r>
      <w:r w:rsidR="00F73148" w:rsidRPr="00F73148">
        <w:rPr>
          <w:rFonts w:ascii="Century Schoolbook" w:hAnsi="Century Schoolbook"/>
        </w:rPr>
        <w:t>33(A</w:t>
      </w:r>
      <w:r w:rsidRPr="00F73148">
        <w:rPr>
          <w:rFonts w:ascii="Century Schoolbook" w:hAnsi="Century Schoolbook"/>
        </w:rPr>
        <w:t>)</w:t>
      </w:r>
      <w:r w:rsidR="00F73148" w:rsidRPr="00F73148">
        <w:rPr>
          <w:rFonts w:ascii="Century Schoolbook" w:hAnsi="Century Schoolbook"/>
        </w:rPr>
        <w:t xml:space="preserve"> defines </w:t>
      </w:r>
      <w:r w:rsidR="00F73148">
        <w:rPr>
          <w:rFonts w:ascii="Century Schoolbook" w:hAnsi="Century Schoolbook"/>
        </w:rPr>
        <w:t xml:space="preserve">a </w:t>
      </w:r>
      <w:r w:rsidR="00F73148" w:rsidRPr="00F73148">
        <w:rPr>
          <w:rFonts w:ascii="Century Schoolbook" w:hAnsi="Century Schoolbook"/>
        </w:rPr>
        <w:t>“misdemeanor crime of</w:t>
      </w:r>
      <w:r w:rsidR="00F73148">
        <w:rPr>
          <w:rFonts w:ascii="Century Schoolbook" w:hAnsi="Century Schoolbook"/>
        </w:rPr>
        <w:t xml:space="preserve"> domestic violence” as </w:t>
      </w:r>
      <w:r w:rsidR="00F73148" w:rsidRPr="00F73148">
        <w:rPr>
          <w:rFonts w:ascii="Century Schoolbook" w:hAnsi="Century Schoolbook"/>
        </w:rPr>
        <w:t>an offense that</w:t>
      </w:r>
      <w:r w:rsidR="00F73148">
        <w:rPr>
          <w:rFonts w:ascii="Century Schoolbook" w:hAnsi="Century Schoolbook"/>
        </w:rPr>
        <w:t>:</w:t>
      </w:r>
    </w:p>
    <w:p w14:paraId="71285DAB" w14:textId="210ADBA8" w:rsidR="00F73148" w:rsidRPr="00BA5291" w:rsidRDefault="00F73148" w:rsidP="00BA5291">
      <w:pPr>
        <w:pStyle w:val="ListParagraph"/>
        <w:numPr>
          <w:ilvl w:val="0"/>
          <w:numId w:val="14"/>
        </w:numPr>
        <w:spacing w:after="0" w:line="240" w:lineRule="auto"/>
        <w:rPr>
          <w:rFonts w:ascii="Century Schoolbook" w:hAnsi="Century Schoolbook"/>
        </w:rPr>
      </w:pPr>
      <w:r w:rsidRPr="00BA5291">
        <w:rPr>
          <w:rFonts w:ascii="Century Schoolbook" w:hAnsi="Century Schoolbook"/>
        </w:rPr>
        <w:t>is a misdemeanor under Federal, State, Tribal, or local law; and</w:t>
      </w:r>
    </w:p>
    <w:p w14:paraId="36F2F0C1" w14:textId="77777777" w:rsidR="00BA5291" w:rsidRPr="00BA5291" w:rsidRDefault="00BA5291" w:rsidP="00BA5291">
      <w:pPr>
        <w:pStyle w:val="ListParagraph"/>
        <w:spacing w:after="0" w:line="240" w:lineRule="auto"/>
        <w:ind w:left="1440"/>
        <w:rPr>
          <w:rFonts w:ascii="Century Schoolbook" w:hAnsi="Century Schoolbook"/>
        </w:rPr>
      </w:pPr>
    </w:p>
    <w:p w14:paraId="41E59F66" w14:textId="350E630F" w:rsidR="00F73148" w:rsidRPr="00BA5291" w:rsidRDefault="00F73148" w:rsidP="00BA5291">
      <w:pPr>
        <w:pStyle w:val="ListParagraph"/>
        <w:numPr>
          <w:ilvl w:val="0"/>
          <w:numId w:val="14"/>
        </w:numPr>
        <w:spacing w:after="0" w:line="240" w:lineRule="auto"/>
        <w:rPr>
          <w:rFonts w:ascii="Century Schoolbook" w:hAnsi="Century Schoolbook"/>
        </w:rPr>
      </w:pPr>
      <w:r w:rsidRPr="00BA5291">
        <w:rPr>
          <w:rFonts w:ascii="Century Schoolbook" w:hAnsi="Century Schoolbook"/>
        </w:rPr>
        <w:t xml:space="preserve">has, as an element, the </w:t>
      </w:r>
      <w:r w:rsidRPr="00BA5291">
        <w:rPr>
          <w:rFonts w:ascii="Century Schoolbook" w:hAnsi="Century Schoolbook"/>
          <w:b/>
          <w:bCs/>
        </w:rPr>
        <w:t>use or attempted use of physical force</w:t>
      </w:r>
      <w:r w:rsidRPr="00BA5291">
        <w:rPr>
          <w:rFonts w:ascii="Century Schoolbook" w:hAnsi="Century Schoolbook"/>
        </w:rPr>
        <w:t xml:space="preserve">, or the </w:t>
      </w:r>
      <w:r w:rsidRPr="00BA5291">
        <w:rPr>
          <w:rFonts w:ascii="Century Schoolbook" w:hAnsi="Century Schoolbook"/>
          <w:b/>
          <w:bCs/>
        </w:rPr>
        <w:t>threatened use of a deadly weapon</w:t>
      </w:r>
      <w:r w:rsidRPr="00BA5291">
        <w:rPr>
          <w:rFonts w:ascii="Century Schoolbook" w:hAnsi="Century Schoolbook"/>
        </w:rPr>
        <w:t>, committed by a current or former spouse, parent, or guardian of the victim, by a person with whom the victim shares a child in common, by a person who is cohabiting with or has cohabited with the victim as a spouse, parent, or guardian, by a person similarly situated to a spouse, parent, or guardian of the victim, or by a person who has a current or recent former dating relationship with the victim.</w:t>
      </w:r>
    </w:p>
    <w:p w14:paraId="1148E88F" w14:textId="77777777" w:rsidR="00BA5291" w:rsidRPr="00BA5291" w:rsidRDefault="00BA5291" w:rsidP="00BA5291">
      <w:pPr>
        <w:pStyle w:val="ListParagraph"/>
        <w:spacing w:after="0" w:line="240" w:lineRule="auto"/>
        <w:ind w:left="1440"/>
        <w:rPr>
          <w:rFonts w:ascii="Century Schoolbook" w:hAnsi="Century Schoolbook"/>
        </w:rPr>
      </w:pPr>
    </w:p>
    <w:p w14:paraId="62628C78" w14:textId="393207C0" w:rsidR="00F73148" w:rsidRPr="00F73148" w:rsidRDefault="00E71E00" w:rsidP="00F73148">
      <w:pPr>
        <w:spacing w:after="0" w:line="480" w:lineRule="auto"/>
        <w:ind w:firstLine="720"/>
        <w:rPr>
          <w:rFonts w:ascii="Century Schoolbook" w:hAnsi="Century Schoolbook"/>
        </w:rPr>
      </w:pPr>
      <w:r>
        <w:rPr>
          <w:rFonts w:ascii="Century Schoolbook" w:hAnsi="Century Schoolbook"/>
        </w:rPr>
        <w:t>T</w:t>
      </w:r>
      <w:r w:rsidR="00F73148" w:rsidRPr="00F73148">
        <w:rPr>
          <w:rFonts w:ascii="Century Schoolbook" w:hAnsi="Century Schoolbook"/>
        </w:rPr>
        <w:t xml:space="preserve">he reference to a “dating relationship” was not in the original </w:t>
      </w:r>
      <w:r w:rsidR="00F73148">
        <w:rPr>
          <w:rFonts w:ascii="Century Schoolbook" w:hAnsi="Century Schoolbook"/>
        </w:rPr>
        <w:t>text of the law. This provision was ad</w:t>
      </w:r>
      <w:r w:rsidR="00F73148" w:rsidRPr="00F73148">
        <w:rPr>
          <w:rFonts w:ascii="Century Schoolbook" w:hAnsi="Century Schoolbook"/>
        </w:rPr>
        <w:t>ded in 2022</w:t>
      </w:r>
      <w:r w:rsidR="00F73148">
        <w:rPr>
          <w:rFonts w:ascii="Century Schoolbook" w:hAnsi="Century Schoolbook"/>
        </w:rPr>
        <w:t>, defining that</w:t>
      </w:r>
      <w:r w:rsidR="00F73148" w:rsidRPr="00F73148">
        <w:rPr>
          <w:rFonts w:ascii="Century Schoolbook" w:hAnsi="Century Schoolbook"/>
        </w:rPr>
        <w:t xml:space="preserve"> term as “a relationship between individuals who have or have recently had a continuing serious relationship of a romantic or intimate nature.” </w:t>
      </w:r>
      <w:r w:rsidR="00F73148">
        <w:rPr>
          <w:rFonts w:ascii="Century Schoolbook" w:hAnsi="Century Schoolbook"/>
        </w:rPr>
        <w:t>A dating relationship</w:t>
      </w:r>
      <w:r w:rsidR="00F73148" w:rsidRPr="00F73148">
        <w:rPr>
          <w:rFonts w:ascii="Century Schoolbook" w:hAnsi="Century Schoolbook"/>
        </w:rPr>
        <w:t xml:space="preserve"> is determined by the length and nature of the relationship and the frequency and type of interaction between the individuals involved. “A casual acquaintanceship or ordinary fraternization in a business or social context does not constitute a dating relationship ….” </w:t>
      </w:r>
    </w:p>
    <w:p w14:paraId="5D911B35" w14:textId="77777777" w:rsidR="00591FE7" w:rsidRDefault="00F73148" w:rsidP="00591FE7">
      <w:pPr>
        <w:spacing w:after="0" w:line="480" w:lineRule="auto"/>
        <w:ind w:firstLine="720"/>
        <w:rPr>
          <w:rFonts w:ascii="Century Schoolbook" w:hAnsi="Century Schoolbook"/>
        </w:rPr>
      </w:pPr>
      <w:r w:rsidRPr="00F73148">
        <w:rPr>
          <w:rFonts w:ascii="Century Schoolbook" w:hAnsi="Century Schoolbook"/>
        </w:rPr>
        <w:t>The</w:t>
      </w:r>
      <w:r w:rsidR="00591FE7">
        <w:rPr>
          <w:rFonts w:ascii="Century Schoolbook" w:hAnsi="Century Schoolbook"/>
        </w:rPr>
        <w:t>se</w:t>
      </w:r>
      <w:r w:rsidRPr="00F73148">
        <w:rPr>
          <w:rFonts w:ascii="Century Schoolbook" w:hAnsi="Century Schoolbook"/>
        </w:rPr>
        <w:t xml:space="preserve"> amendments relating to persons with a dating relationship “shall not apply to any conviction of a misdemeanor crime of domestic violence entered before </w:t>
      </w:r>
      <w:r w:rsidRPr="00F73148">
        <w:rPr>
          <w:rFonts w:ascii="Century Schoolbook" w:hAnsi="Century Schoolbook"/>
        </w:rPr>
        <w:lastRenderedPageBreak/>
        <w:t xml:space="preserve">the date of enactment of this Act.” A person shall not be considered as having such conviction if it has been expunged or set aside or the person has been pardoned or had civil rights restored, unless firearm rights have expressly not been returned. </w:t>
      </w:r>
    </w:p>
    <w:p w14:paraId="27FC9464" w14:textId="40C43E53" w:rsidR="00F73148" w:rsidRDefault="00F73148" w:rsidP="00591FE7">
      <w:pPr>
        <w:spacing w:after="0" w:line="480" w:lineRule="auto"/>
        <w:ind w:firstLine="720"/>
        <w:rPr>
          <w:rFonts w:ascii="Century Schoolbook" w:hAnsi="Century Schoolbook"/>
        </w:rPr>
      </w:pPr>
      <w:r w:rsidRPr="00F73148">
        <w:rPr>
          <w:rFonts w:ascii="Century Schoolbook" w:hAnsi="Century Schoolbook"/>
        </w:rPr>
        <w:t xml:space="preserve">The legal disability of a person with only one conviction for a dating relationship conviction is removed after five years from the judgment of conviction or completion of sentence. The national instant criminal background check system </w:t>
      </w:r>
      <w:r w:rsidR="00591FE7">
        <w:rPr>
          <w:rFonts w:ascii="Century Schoolbook" w:hAnsi="Century Schoolbook"/>
        </w:rPr>
        <w:t xml:space="preserve">(NICS) </w:t>
      </w:r>
      <w:r w:rsidRPr="00F73148">
        <w:rPr>
          <w:rFonts w:ascii="Century Schoolbook" w:hAnsi="Century Schoolbook"/>
        </w:rPr>
        <w:t>is required to be updated to reflect such status.</w:t>
      </w:r>
    </w:p>
    <w:p w14:paraId="36472EC7" w14:textId="77777777" w:rsidR="00591FE7" w:rsidRDefault="00591FE7" w:rsidP="00591FE7">
      <w:pPr>
        <w:spacing w:after="0" w:line="480" w:lineRule="auto"/>
        <w:ind w:firstLine="720"/>
        <w:rPr>
          <w:rFonts w:ascii="Century Schoolbook" w:hAnsi="Century Schoolbook"/>
        </w:rPr>
      </w:pPr>
      <w:r>
        <w:rPr>
          <w:rFonts w:ascii="Century Schoolbook" w:hAnsi="Century Schoolbook"/>
        </w:rPr>
        <w:t>Frequently, defendants plead guilty without the benefit of counsel, or the right to a trial by jury. Therefore, an offense constitutes a “misdemeanor crime of domestic violence” under 922(g)(8) only if the following apply:</w:t>
      </w:r>
    </w:p>
    <w:p w14:paraId="79DF994D" w14:textId="6868DE78" w:rsidR="00591FE7" w:rsidRDefault="00591FE7" w:rsidP="0096662D">
      <w:pPr>
        <w:spacing w:after="0" w:line="240" w:lineRule="auto"/>
        <w:ind w:left="720"/>
        <w:rPr>
          <w:rFonts w:ascii="Century Schoolbook" w:hAnsi="Century Schoolbook"/>
        </w:rPr>
      </w:pPr>
      <w:r w:rsidRPr="00591FE7">
        <w:rPr>
          <w:rFonts w:ascii="Century Schoolbook" w:hAnsi="Century Schoolbook"/>
        </w:rPr>
        <w:t>A person shall not be considered to have been convicted of such an offense for purposes of this chapter, unless—</w:t>
      </w:r>
    </w:p>
    <w:p w14:paraId="224767ED" w14:textId="77777777" w:rsidR="0096662D" w:rsidRPr="00591FE7" w:rsidRDefault="0096662D" w:rsidP="0096662D">
      <w:pPr>
        <w:spacing w:after="0" w:line="240" w:lineRule="auto"/>
        <w:ind w:left="720"/>
        <w:rPr>
          <w:rFonts w:ascii="Century Schoolbook" w:hAnsi="Century Schoolbook"/>
        </w:rPr>
      </w:pPr>
    </w:p>
    <w:p w14:paraId="1466FDC1" w14:textId="536729C0" w:rsidR="0096662D" w:rsidRDefault="00591FE7" w:rsidP="0096662D">
      <w:pPr>
        <w:pStyle w:val="ListParagraph"/>
        <w:numPr>
          <w:ilvl w:val="0"/>
          <w:numId w:val="15"/>
        </w:numPr>
        <w:spacing w:after="0" w:line="240" w:lineRule="auto"/>
        <w:rPr>
          <w:rFonts w:ascii="Century Schoolbook" w:hAnsi="Century Schoolbook"/>
        </w:rPr>
      </w:pPr>
      <w:r w:rsidRPr="0096662D">
        <w:rPr>
          <w:rFonts w:ascii="Century Schoolbook" w:hAnsi="Century Schoolbook"/>
        </w:rPr>
        <w:t>the person was represented by counsel in the case, or knowingly and intelligently waived the right to counsel in the case; and</w:t>
      </w:r>
    </w:p>
    <w:p w14:paraId="63AA6051" w14:textId="77777777" w:rsidR="0096662D" w:rsidRPr="0096662D" w:rsidRDefault="0096662D" w:rsidP="0096662D">
      <w:pPr>
        <w:pStyle w:val="ListParagraph"/>
        <w:spacing w:after="0" w:line="240" w:lineRule="auto"/>
        <w:ind w:left="1440"/>
        <w:rPr>
          <w:rFonts w:ascii="Century Schoolbook" w:hAnsi="Century Schoolbook"/>
        </w:rPr>
      </w:pPr>
    </w:p>
    <w:p w14:paraId="043A04DF" w14:textId="07AAB0B1" w:rsidR="00591FE7" w:rsidRPr="0096662D" w:rsidRDefault="00591FE7" w:rsidP="0096662D">
      <w:pPr>
        <w:pStyle w:val="ListParagraph"/>
        <w:numPr>
          <w:ilvl w:val="0"/>
          <w:numId w:val="15"/>
        </w:numPr>
        <w:spacing w:after="0" w:line="240" w:lineRule="auto"/>
        <w:rPr>
          <w:rFonts w:ascii="Century Schoolbook" w:hAnsi="Century Schoolbook"/>
        </w:rPr>
      </w:pPr>
      <w:r w:rsidRPr="0096662D">
        <w:rPr>
          <w:rFonts w:ascii="Century Schoolbook" w:hAnsi="Century Schoolbook"/>
        </w:rPr>
        <w:t>in the case of a prosecution for an offense described in this paragraph for which a person was entitled to a jury trial in the jurisdiction in which the case was tried, either</w:t>
      </w:r>
    </w:p>
    <w:p w14:paraId="5726D448" w14:textId="77777777" w:rsidR="0096662D" w:rsidRPr="0096662D" w:rsidRDefault="0096662D" w:rsidP="0096662D">
      <w:pPr>
        <w:pStyle w:val="ListParagraph"/>
        <w:spacing w:after="0" w:line="240" w:lineRule="auto"/>
        <w:ind w:left="1440"/>
        <w:rPr>
          <w:rFonts w:ascii="Century Schoolbook" w:hAnsi="Century Schoolbook"/>
        </w:rPr>
      </w:pPr>
    </w:p>
    <w:p w14:paraId="19867AA3" w14:textId="77777777" w:rsidR="0096662D" w:rsidRDefault="00591FE7" w:rsidP="0096662D">
      <w:pPr>
        <w:spacing w:after="0" w:line="240" w:lineRule="auto"/>
        <w:ind w:left="720" w:firstLine="720"/>
        <w:rPr>
          <w:rFonts w:ascii="Century Schoolbook" w:hAnsi="Century Schoolbook"/>
        </w:rPr>
      </w:pPr>
      <w:r w:rsidRPr="00591FE7">
        <w:rPr>
          <w:rFonts w:ascii="Century Schoolbook" w:hAnsi="Century Schoolbook"/>
        </w:rPr>
        <w:t>(aa) the case was tried by a jury, or</w:t>
      </w:r>
    </w:p>
    <w:p w14:paraId="525989FD" w14:textId="77777777" w:rsidR="0096662D" w:rsidRDefault="0096662D" w:rsidP="0096662D">
      <w:pPr>
        <w:spacing w:after="0" w:line="240" w:lineRule="auto"/>
        <w:ind w:left="720" w:firstLine="720"/>
        <w:rPr>
          <w:rFonts w:ascii="Century Schoolbook" w:hAnsi="Century Schoolbook"/>
        </w:rPr>
      </w:pPr>
    </w:p>
    <w:p w14:paraId="4733507B" w14:textId="7EDB5E26" w:rsidR="00591FE7" w:rsidRDefault="00591FE7" w:rsidP="0096662D">
      <w:pPr>
        <w:spacing w:after="0" w:line="240" w:lineRule="auto"/>
        <w:ind w:left="1440"/>
        <w:rPr>
          <w:rFonts w:ascii="Century Schoolbook" w:hAnsi="Century Schoolbook"/>
        </w:rPr>
      </w:pPr>
      <w:r w:rsidRPr="00591FE7">
        <w:rPr>
          <w:rFonts w:ascii="Century Schoolbook" w:hAnsi="Century Schoolbook"/>
        </w:rPr>
        <w:t>(bb) the person knowingly and intelligently waived the right to have the case tried by a jury, by guilty plea or otherwise.</w:t>
      </w:r>
    </w:p>
    <w:p w14:paraId="0688EAAD" w14:textId="77777777" w:rsidR="0096662D" w:rsidRDefault="0096662D" w:rsidP="0096662D">
      <w:pPr>
        <w:spacing w:after="0" w:line="240" w:lineRule="auto"/>
        <w:ind w:left="2160"/>
        <w:rPr>
          <w:rFonts w:ascii="Century Schoolbook" w:hAnsi="Century Schoolbook"/>
        </w:rPr>
      </w:pPr>
    </w:p>
    <w:p w14:paraId="5B55AA1A" w14:textId="2F9B6C55" w:rsidR="00591FE7" w:rsidRDefault="00591FE7" w:rsidP="00591FE7">
      <w:pPr>
        <w:spacing w:after="0" w:line="480" w:lineRule="auto"/>
        <w:rPr>
          <w:rFonts w:ascii="Century Schoolbook" w:hAnsi="Century Schoolbook"/>
        </w:rPr>
      </w:pPr>
      <w:r>
        <w:rPr>
          <w:rFonts w:ascii="Century Schoolbook" w:hAnsi="Century Schoolbook"/>
        </w:rPr>
        <w:tab/>
        <w:t xml:space="preserve">To paraphrase, the above definition applies only when the defendant was represented by counsel, and the case was tried by a jury, or the defendant knowingly and intelligently waived his right to counsel and to a jury trial. These rights must have been knowingly and intelligently waived, even when a plea of guilty was entered. The burden is on the Court to inform the defendant of these </w:t>
      </w:r>
      <w:r>
        <w:rPr>
          <w:rFonts w:ascii="Century Schoolbook" w:hAnsi="Century Schoolbook"/>
        </w:rPr>
        <w:lastRenderedPageBreak/>
        <w:t xml:space="preserve">rights and document his decision to waive them. Abandonment of these rights may not be established by a silent record. </w:t>
      </w:r>
    </w:p>
    <w:p w14:paraId="3F32148F" w14:textId="77777777" w:rsidR="00C05E20" w:rsidRPr="00C05E20" w:rsidRDefault="00591FE7" w:rsidP="00C05E20">
      <w:pPr>
        <w:spacing w:after="0" w:line="480" w:lineRule="auto"/>
        <w:rPr>
          <w:rFonts w:ascii="Century Schoolbook" w:hAnsi="Century Schoolbook"/>
        </w:rPr>
      </w:pPr>
      <w:r>
        <w:rPr>
          <w:rFonts w:ascii="Century Schoolbook" w:hAnsi="Century Schoolbook"/>
        </w:rPr>
        <w:tab/>
        <w:t xml:space="preserve">There has been much discourse over </w:t>
      </w:r>
      <w:r w:rsidR="00C05E20">
        <w:rPr>
          <w:rFonts w:ascii="Century Schoolbook" w:hAnsi="Century Schoolbook"/>
        </w:rPr>
        <w:t>what constitutes “</w:t>
      </w:r>
      <w:r w:rsidR="00C05E20" w:rsidRPr="00C05E20">
        <w:rPr>
          <w:rFonts w:ascii="Century Schoolbook" w:hAnsi="Century Schoolbook"/>
        </w:rPr>
        <w:t>the use or attempted use of physical force</w:t>
      </w:r>
      <w:r w:rsidR="00C05E20">
        <w:rPr>
          <w:rFonts w:ascii="Century Schoolbook" w:hAnsi="Century Schoolbook"/>
        </w:rPr>
        <w:t xml:space="preserve">”. </w:t>
      </w:r>
      <w:r w:rsidR="00C05E20" w:rsidRPr="00C05E20">
        <w:rPr>
          <w:rFonts w:ascii="Century Schoolbook" w:hAnsi="Century Schoolbook"/>
        </w:rPr>
        <w:t xml:space="preserve">In </w:t>
      </w:r>
      <w:r w:rsidR="00C05E20" w:rsidRPr="00C05E20">
        <w:rPr>
          <w:rFonts w:ascii="Century Schoolbook" w:hAnsi="Century Schoolbook"/>
          <w:i/>
          <w:iCs/>
        </w:rPr>
        <w:t>United States v. Vinson</w:t>
      </w:r>
      <w:r w:rsidR="00C05E20" w:rsidRPr="00C05E20">
        <w:rPr>
          <w:rFonts w:ascii="Century Schoolbook" w:hAnsi="Century Schoolbook"/>
        </w:rPr>
        <w:t>, 805 F.3d 120 (4th Cir. 2015) the court ruled that a man with a previous North Carolina domestic violence conviction for assault on a female had not been convicted of a “misdemeanor crime of domestic violence.” The court reasoned (1) that the phrase “use of physical force” in 18 U.S.C. § 921(a)(33) means the intentional use of physical force; (2) that North Carolina allows assault convictions based upon “culpable negligence” rather than intent; so (3) North Carolina assault convictions do not require, “as an element,” the “use of physical force.”</w:t>
      </w:r>
    </w:p>
    <w:p w14:paraId="6BCFF288" w14:textId="77777777" w:rsidR="00C05E20" w:rsidRDefault="00C05E20" w:rsidP="00C05E20">
      <w:pPr>
        <w:spacing w:after="0" w:line="480" w:lineRule="auto"/>
        <w:ind w:firstLine="720"/>
      </w:pPr>
      <w:r w:rsidRPr="00C05E20">
        <w:rPr>
          <w:rFonts w:ascii="Century Schoolbook" w:hAnsi="Century Schoolbook"/>
        </w:rPr>
        <w:t xml:space="preserve">The most common charges in domestic violence situations in North Carolina are simple assault and assault on a female, and under </w:t>
      </w:r>
      <w:r w:rsidRPr="00C05E20">
        <w:rPr>
          <w:rFonts w:ascii="Century Schoolbook" w:hAnsi="Century Schoolbook"/>
          <w:i/>
          <w:iCs/>
        </w:rPr>
        <w:t>Vinson</w:t>
      </w:r>
      <w:r w:rsidRPr="00C05E20">
        <w:rPr>
          <w:rFonts w:ascii="Century Schoolbook" w:hAnsi="Century Schoolbook"/>
        </w:rPr>
        <w:t xml:space="preserve">, neither counts as a “misdemeanor crime of domestic violence.” Note that the </w:t>
      </w:r>
      <w:r w:rsidRPr="00C05E20">
        <w:rPr>
          <w:rFonts w:ascii="Century Schoolbook" w:hAnsi="Century Schoolbook"/>
          <w:i/>
          <w:iCs/>
        </w:rPr>
        <w:t>Vinson</w:t>
      </w:r>
      <w:r w:rsidRPr="00C05E20">
        <w:rPr>
          <w:rFonts w:ascii="Century Schoolbook" w:hAnsi="Century Schoolbook"/>
        </w:rPr>
        <w:t xml:space="preserve"> rule is categorical: because North Carolina assault convictions don’t require intent as an element, they aren’t “misdemeanor crime[s] of domestic violence” even when factually, it is clear that a particular defendant intentionally used physical force in the course of committing an assault.</w:t>
      </w:r>
      <w:r w:rsidRPr="00C05E20">
        <w:t xml:space="preserve"> </w:t>
      </w:r>
    </w:p>
    <w:p w14:paraId="09A76846" w14:textId="7DA4B24C" w:rsidR="00C05E20" w:rsidRPr="00C05E20" w:rsidRDefault="0075421D" w:rsidP="00C05E20">
      <w:pPr>
        <w:spacing w:after="0" w:line="480" w:lineRule="auto"/>
        <w:ind w:firstLine="720"/>
        <w:rPr>
          <w:rFonts w:ascii="Century Schoolbook" w:hAnsi="Century Schoolbook"/>
        </w:rPr>
      </w:pPr>
      <w:r>
        <w:rPr>
          <w:rFonts w:ascii="Century Schoolbook" w:hAnsi="Century Schoolbook"/>
        </w:rPr>
        <w:t xml:space="preserve">Consider, however, </w:t>
      </w:r>
      <w:r w:rsidR="00C05E20" w:rsidRPr="00C05E20">
        <w:rPr>
          <w:rFonts w:ascii="Century Schoolbook" w:hAnsi="Century Schoolbook"/>
          <w:i/>
          <w:iCs/>
        </w:rPr>
        <w:t>Voisine v. United States</w:t>
      </w:r>
      <w:r w:rsidR="00C05E20" w:rsidRPr="00C05E20">
        <w:rPr>
          <w:rFonts w:ascii="Century Schoolbook" w:hAnsi="Century Schoolbook"/>
        </w:rPr>
        <w:t xml:space="preserve">, </w:t>
      </w:r>
      <w:r>
        <w:rPr>
          <w:rFonts w:ascii="Century Schoolbook" w:hAnsi="Century Schoolbook"/>
        </w:rPr>
        <w:t xml:space="preserve">which </w:t>
      </w:r>
      <w:r w:rsidR="00C05E20" w:rsidRPr="00C05E20">
        <w:rPr>
          <w:rFonts w:ascii="Century Schoolbook" w:hAnsi="Century Schoolbook"/>
        </w:rPr>
        <w:t xml:space="preserve">involved two defendants who had previous domestic violence assault convictions in Maine. Under Maine law, an assault may be committed by intentionally, knowingly, or recklessly causing injury to another. Each defendant subsequently possessed a firearm and was </w:t>
      </w:r>
      <w:r w:rsidR="00C05E20" w:rsidRPr="00C05E20">
        <w:rPr>
          <w:rFonts w:ascii="Century Schoolbook" w:hAnsi="Century Schoolbook"/>
        </w:rPr>
        <w:lastRenderedPageBreak/>
        <w:t>charged in federal court with violating 18 U.S.C. § 922(g)(9). The Court ruled that reckless assaults may qualify as misdemeanor crimes of domestic violence. First, it stated that the “use” of force is not limited to the intentional use of force:</w:t>
      </w:r>
    </w:p>
    <w:p w14:paraId="2AC06DC1" w14:textId="19287418" w:rsidR="00C05E20" w:rsidRDefault="00C05E20" w:rsidP="0075421D">
      <w:pPr>
        <w:spacing w:after="0" w:line="240" w:lineRule="auto"/>
        <w:ind w:left="360" w:right="360" w:firstLine="720"/>
        <w:rPr>
          <w:rFonts w:ascii="Century Schoolbook" w:hAnsi="Century Schoolbook"/>
        </w:rPr>
      </w:pPr>
      <w:r w:rsidRPr="00C05E20">
        <w:rPr>
          <w:rFonts w:ascii="Century Schoolbook" w:hAnsi="Century Schoolbook"/>
        </w:rPr>
        <w:t>[T]he word “use” does not demand that the person applying force have the purpose or practical certainty that it will cause harm, as compared with the understanding that it is substantially likely to do so. Or, otherwise said, that word is indifferent as to whether the actor has the mental state of intention, knowledge, or recklessness with respect to the harmful consequences of his volitional conduct.</w:t>
      </w:r>
    </w:p>
    <w:p w14:paraId="33CD2B23" w14:textId="77777777" w:rsidR="007102A5" w:rsidRDefault="007102A5" w:rsidP="0075421D">
      <w:pPr>
        <w:spacing w:after="0" w:line="240" w:lineRule="auto"/>
        <w:ind w:left="360" w:right="360" w:firstLine="720"/>
        <w:rPr>
          <w:rFonts w:ascii="Century Schoolbook" w:hAnsi="Century Schoolbook"/>
        </w:rPr>
      </w:pPr>
    </w:p>
    <w:p w14:paraId="5775A2B7" w14:textId="41E10F95" w:rsidR="007102A5" w:rsidRDefault="007102A5" w:rsidP="0075421D">
      <w:pPr>
        <w:spacing w:after="0" w:line="240" w:lineRule="auto"/>
        <w:ind w:left="360" w:right="360" w:firstLine="720"/>
        <w:rPr>
          <w:rFonts w:ascii="Century Schoolbook" w:hAnsi="Century Schoolbook"/>
        </w:rPr>
      </w:pPr>
      <w:r w:rsidRPr="007102A5">
        <w:rPr>
          <w:rFonts w:ascii="Century Schoolbook" w:hAnsi="Century Schoolbook"/>
          <w:i/>
          <w:iCs/>
        </w:rPr>
        <w:t>Voisine v. United States</w:t>
      </w:r>
      <w:r w:rsidRPr="007102A5">
        <w:rPr>
          <w:rFonts w:ascii="Century Schoolbook" w:hAnsi="Century Schoolbook"/>
        </w:rPr>
        <w:t>, 579 U.S.686</w:t>
      </w:r>
      <w:r>
        <w:rPr>
          <w:rFonts w:ascii="Century Schoolbook" w:hAnsi="Century Schoolbook"/>
        </w:rPr>
        <w:t>, 693</w:t>
      </w:r>
      <w:r w:rsidRPr="007102A5">
        <w:rPr>
          <w:rFonts w:ascii="Century Schoolbook" w:hAnsi="Century Schoolbook"/>
        </w:rPr>
        <w:t xml:space="preserve"> (2016)</w:t>
      </w:r>
      <w:r>
        <w:rPr>
          <w:rFonts w:ascii="Century Schoolbook" w:hAnsi="Century Schoolbook"/>
        </w:rPr>
        <w:t>.</w:t>
      </w:r>
    </w:p>
    <w:p w14:paraId="495FF3DA" w14:textId="77777777" w:rsidR="0075421D" w:rsidRPr="00C05E20" w:rsidRDefault="0075421D" w:rsidP="0075421D">
      <w:pPr>
        <w:spacing w:after="0" w:line="240" w:lineRule="auto"/>
        <w:ind w:left="360" w:right="360" w:firstLine="720"/>
        <w:rPr>
          <w:rFonts w:ascii="Century Schoolbook" w:hAnsi="Century Schoolbook"/>
        </w:rPr>
      </w:pPr>
    </w:p>
    <w:p w14:paraId="1CCF3A7E" w14:textId="4A90B52B" w:rsidR="00C05E20" w:rsidRPr="00451B72" w:rsidRDefault="00C05E20" w:rsidP="00C05E20">
      <w:pPr>
        <w:spacing w:after="0" w:line="480" w:lineRule="auto"/>
        <w:ind w:firstLine="720"/>
        <w:rPr>
          <w:rFonts w:ascii="Century Schoolbook" w:hAnsi="Century Schoolbook"/>
        </w:rPr>
      </w:pPr>
      <w:r w:rsidRPr="00C05E20">
        <w:rPr>
          <w:rFonts w:ascii="Century Schoolbook" w:hAnsi="Century Schoolbook"/>
        </w:rPr>
        <w:t>Second, it stated that ruling otherwise would undermine Congress’s intent to prohibit “domestic abusers convicted of garden-variety assault or battery</w:t>
      </w:r>
      <w:r w:rsidR="007102A5">
        <w:rPr>
          <w:rFonts w:ascii="Century Schoolbook" w:hAnsi="Century Schoolbook"/>
        </w:rPr>
        <w:t xml:space="preserve"> </w:t>
      </w:r>
      <w:r w:rsidRPr="00C05E20">
        <w:rPr>
          <w:rFonts w:ascii="Century Schoolbook" w:hAnsi="Century Schoolbook"/>
        </w:rPr>
        <w:t>misdemeanors—just like those convicted of felonies—from owning guns”</w:t>
      </w:r>
      <w:r w:rsidR="005F5614">
        <w:rPr>
          <w:rFonts w:ascii="Century Schoolbook" w:hAnsi="Century Schoolbook"/>
        </w:rPr>
        <w:t xml:space="preserve"> </w:t>
      </w:r>
      <w:r w:rsidR="005F5614">
        <w:rPr>
          <w:rFonts w:ascii="Century Schoolbook" w:hAnsi="Century Schoolbook"/>
          <w:i/>
          <w:iCs/>
        </w:rPr>
        <w:t>Id</w:t>
      </w:r>
      <w:r w:rsidR="00451B72">
        <w:rPr>
          <w:rFonts w:ascii="Century Schoolbook" w:hAnsi="Century Schoolbook"/>
        </w:rPr>
        <w:t xml:space="preserve"> at 687.</w:t>
      </w:r>
    </w:p>
    <w:p w14:paraId="0C0B27B2" w14:textId="2023AC6E" w:rsidR="00C05E20" w:rsidRPr="00F54705" w:rsidRDefault="00C05E20" w:rsidP="00C05E20">
      <w:pPr>
        <w:spacing w:after="0" w:line="480" w:lineRule="auto"/>
        <w:ind w:firstLine="720"/>
        <w:rPr>
          <w:rFonts w:ascii="Century Schoolbook" w:hAnsi="Century Schoolbook"/>
        </w:rPr>
      </w:pPr>
      <w:r w:rsidRPr="00C05E20">
        <w:rPr>
          <w:rFonts w:ascii="Century Schoolbook" w:hAnsi="Century Schoolbook"/>
        </w:rPr>
        <w:t>“Then, as now, a significant majority of jurisdictions—34 States plus the District of Columbia—defined such misdemeanor offenses to include the reckless infliction of bodily harm. . . . So in linking § 922(g)(9) to those laws, Congress must have known it was sweeping in some persons who had engaged in reckless conduct. . . . [Defendants’] reading [would render] § 922(g)(9) broadly inoperative in the 35 jurisdictions with assault laws extending to recklessness.”</w:t>
      </w:r>
      <w:r w:rsidR="00F54705">
        <w:rPr>
          <w:rFonts w:ascii="Century Schoolbook" w:hAnsi="Century Schoolbook"/>
        </w:rPr>
        <w:t xml:space="preserve"> </w:t>
      </w:r>
      <w:r w:rsidR="00F54705">
        <w:rPr>
          <w:rFonts w:ascii="Century Schoolbook" w:hAnsi="Century Schoolbook"/>
          <w:i/>
          <w:iCs/>
        </w:rPr>
        <w:t>Id</w:t>
      </w:r>
      <w:r w:rsidR="00F54705">
        <w:rPr>
          <w:rFonts w:ascii="Century Schoolbook" w:hAnsi="Century Schoolbook"/>
        </w:rPr>
        <w:t xml:space="preserve"> at 687.</w:t>
      </w:r>
    </w:p>
    <w:p w14:paraId="1B9CA533" w14:textId="77777777" w:rsidR="00C05E20" w:rsidRPr="00C05E20" w:rsidRDefault="00C05E20" w:rsidP="00C05E20">
      <w:pPr>
        <w:spacing w:after="0" w:line="480" w:lineRule="auto"/>
        <w:ind w:firstLine="720"/>
        <w:rPr>
          <w:rFonts w:ascii="Century Schoolbook" w:hAnsi="Century Schoolbook"/>
        </w:rPr>
      </w:pPr>
      <w:r w:rsidRPr="00C05E20">
        <w:rPr>
          <w:rFonts w:ascii="Century Schoolbook" w:hAnsi="Century Schoolbook"/>
        </w:rPr>
        <w:t xml:space="preserve">Although the Court surely was aware of </w:t>
      </w:r>
      <w:r w:rsidRPr="00C05E20">
        <w:rPr>
          <w:rFonts w:ascii="Century Schoolbook" w:hAnsi="Century Schoolbook"/>
          <w:i/>
          <w:iCs/>
        </w:rPr>
        <w:t>Vinson</w:t>
      </w:r>
      <w:r w:rsidRPr="00C05E20">
        <w:rPr>
          <w:rFonts w:ascii="Century Schoolbook" w:hAnsi="Century Schoolbook"/>
        </w:rPr>
        <w:t xml:space="preserve">, the majority opinion does not cite it and never uses the word “negligence” at any point. It addresses recklessness only in an apparently conscious avoidance of the negligence issue. Therefore, </w:t>
      </w:r>
      <w:r w:rsidRPr="00C05E20">
        <w:rPr>
          <w:rFonts w:ascii="Century Schoolbook" w:hAnsi="Century Schoolbook"/>
          <w:i/>
          <w:iCs/>
        </w:rPr>
        <w:t>Voisine</w:t>
      </w:r>
      <w:r w:rsidRPr="00C05E20">
        <w:rPr>
          <w:rFonts w:ascii="Century Schoolbook" w:hAnsi="Century Schoolbook"/>
        </w:rPr>
        <w:t xml:space="preserve"> probably does not overrule </w:t>
      </w:r>
      <w:r w:rsidRPr="00C05E20">
        <w:rPr>
          <w:rFonts w:ascii="Century Schoolbook" w:hAnsi="Century Schoolbook"/>
          <w:i/>
          <w:iCs/>
        </w:rPr>
        <w:t>Vinson</w:t>
      </w:r>
      <w:r w:rsidRPr="00C05E20">
        <w:rPr>
          <w:rFonts w:ascii="Century Schoolbook" w:hAnsi="Century Schoolbook"/>
        </w:rPr>
        <w:t>.</w:t>
      </w:r>
    </w:p>
    <w:p w14:paraId="4B5E977F" w14:textId="66AE2D41" w:rsidR="00F73148" w:rsidRDefault="00C05E20" w:rsidP="00C05E20">
      <w:pPr>
        <w:spacing w:after="0" w:line="480" w:lineRule="auto"/>
        <w:ind w:firstLine="720"/>
        <w:rPr>
          <w:rFonts w:ascii="Century Schoolbook" w:hAnsi="Century Schoolbook"/>
        </w:rPr>
      </w:pPr>
      <w:r w:rsidRPr="00C05E20">
        <w:rPr>
          <w:rFonts w:ascii="Century Schoolbook" w:hAnsi="Century Schoolbook"/>
        </w:rPr>
        <w:t xml:space="preserve">However, there is language in </w:t>
      </w:r>
      <w:r w:rsidRPr="00C05E20">
        <w:rPr>
          <w:rFonts w:ascii="Century Schoolbook" w:hAnsi="Century Schoolbook"/>
          <w:i/>
          <w:iCs/>
        </w:rPr>
        <w:t>Voisine</w:t>
      </w:r>
      <w:r w:rsidRPr="00C05E20">
        <w:rPr>
          <w:rFonts w:ascii="Century Schoolbook" w:hAnsi="Century Schoolbook"/>
        </w:rPr>
        <w:t xml:space="preserve"> that could be used in the future to prompt the Fourth Circuit to reconsider </w:t>
      </w:r>
      <w:r w:rsidRPr="00C05E20">
        <w:rPr>
          <w:rFonts w:ascii="Century Schoolbook" w:hAnsi="Century Schoolbook"/>
          <w:i/>
          <w:iCs/>
        </w:rPr>
        <w:t>Vinson</w:t>
      </w:r>
      <w:r w:rsidRPr="00C05E20">
        <w:rPr>
          <w:rFonts w:ascii="Century Schoolbook" w:hAnsi="Century Schoolbook"/>
        </w:rPr>
        <w:t xml:space="preserve">. At times the majority opinion </w:t>
      </w:r>
      <w:r w:rsidRPr="00C05E20">
        <w:rPr>
          <w:rFonts w:ascii="Century Schoolbook" w:hAnsi="Century Schoolbook"/>
        </w:rPr>
        <w:lastRenderedPageBreak/>
        <w:t xml:space="preserve">seems to suggest that “use” rules out only “merely accidental” conduct or conduct that is “involuntary.” If that’s the line, then criminal negligence may surpass it. Indeed, the distinction between criminal negligence and recklessness is quite fine. See, e.g., </w:t>
      </w:r>
      <w:r w:rsidRPr="00C05E20">
        <w:rPr>
          <w:rFonts w:ascii="Century Schoolbook" w:hAnsi="Century Schoolbook"/>
          <w:i/>
          <w:iCs/>
        </w:rPr>
        <w:t>State v. Hefler</w:t>
      </w:r>
      <w:r w:rsidRPr="00C05E20">
        <w:rPr>
          <w:rFonts w:ascii="Century Schoolbook" w:hAnsi="Century Schoolbook"/>
        </w:rPr>
        <w:t>, 310 N.C. 135 (1984) (“Culpable negligence under the criminal law is such recklessness or carelessness, resulting in injury or death, as imports a thoughtless disregard of consequences or a heedless indifference to the safety and rights of others.”).</w:t>
      </w:r>
    </w:p>
    <w:p w14:paraId="46D22A40" w14:textId="69FECBDE" w:rsidR="00C05E20" w:rsidRPr="00C05E20" w:rsidRDefault="00C05E20" w:rsidP="00C05E20">
      <w:pPr>
        <w:spacing w:after="0" w:line="480" w:lineRule="auto"/>
        <w:ind w:firstLine="720"/>
        <w:rPr>
          <w:rFonts w:ascii="Century Schoolbook" w:hAnsi="Century Schoolbook"/>
        </w:rPr>
      </w:pPr>
      <w:r>
        <w:rPr>
          <w:rFonts w:ascii="Century Schoolbook" w:hAnsi="Century Schoolbook"/>
        </w:rPr>
        <w:t xml:space="preserve">In any event, in 2023, the North Carolina Legislature enacted a new crime, “Misdemeanor Crime of Domestic Violence” (N.C.G.S. 14-32.5), ostensibly to address the issues created under </w:t>
      </w:r>
      <w:r>
        <w:rPr>
          <w:rFonts w:ascii="Century Schoolbook" w:hAnsi="Century Schoolbook"/>
          <w:i/>
          <w:iCs/>
        </w:rPr>
        <w:t>Vinson</w:t>
      </w:r>
      <w:r>
        <w:rPr>
          <w:rFonts w:ascii="Century Schoolbook" w:hAnsi="Century Schoolbook"/>
        </w:rPr>
        <w:t xml:space="preserve"> and </w:t>
      </w:r>
      <w:r>
        <w:rPr>
          <w:rFonts w:ascii="Century Schoolbook" w:hAnsi="Century Schoolbook"/>
          <w:i/>
          <w:iCs/>
        </w:rPr>
        <w:t>Voisine</w:t>
      </w:r>
      <w:r>
        <w:rPr>
          <w:rFonts w:ascii="Century Schoolbook" w:hAnsi="Century Schoolbook"/>
        </w:rPr>
        <w:t xml:space="preserve">. </w:t>
      </w:r>
      <w:r w:rsidRPr="00C05E20">
        <w:rPr>
          <w:rFonts w:ascii="Century Schoolbook" w:hAnsi="Century Schoolbook"/>
        </w:rPr>
        <w:t>Under this new law, a person is guilty of a Class A1 misdemeanor if that person uses or attempts to use physical force, or threatens the use of a deadly weapon, against another person. The person who commits the offense must have one of the following relationships with the victim:</w:t>
      </w:r>
    </w:p>
    <w:p w14:paraId="17BEB098" w14:textId="77777777" w:rsidR="00C05E20" w:rsidRDefault="00C05E20" w:rsidP="00C05E20">
      <w:pPr>
        <w:pStyle w:val="ListParagraph"/>
        <w:numPr>
          <w:ilvl w:val="0"/>
          <w:numId w:val="8"/>
        </w:numPr>
        <w:spacing w:after="0" w:line="240" w:lineRule="auto"/>
        <w:rPr>
          <w:rFonts w:ascii="Century Schoolbook" w:hAnsi="Century Schoolbook"/>
        </w:rPr>
      </w:pPr>
      <w:r w:rsidRPr="00C05E20">
        <w:rPr>
          <w:rFonts w:ascii="Century Schoolbook" w:hAnsi="Century Schoolbook"/>
        </w:rPr>
        <w:t>A current or former spouse, parent, or guardian of the victim.</w:t>
      </w:r>
    </w:p>
    <w:p w14:paraId="6C92F50C" w14:textId="77777777" w:rsidR="00C05E20" w:rsidRDefault="00C05E20" w:rsidP="00C05E20">
      <w:pPr>
        <w:pStyle w:val="ListParagraph"/>
        <w:spacing w:after="0" w:line="240" w:lineRule="auto"/>
        <w:ind w:left="1440"/>
        <w:rPr>
          <w:rFonts w:ascii="Century Schoolbook" w:hAnsi="Century Schoolbook"/>
        </w:rPr>
      </w:pPr>
    </w:p>
    <w:p w14:paraId="66E82A0E" w14:textId="77777777" w:rsidR="00C05E20" w:rsidRDefault="00C05E20" w:rsidP="00C05E20">
      <w:pPr>
        <w:pStyle w:val="ListParagraph"/>
        <w:numPr>
          <w:ilvl w:val="0"/>
          <w:numId w:val="8"/>
        </w:numPr>
        <w:spacing w:after="0" w:line="240" w:lineRule="auto"/>
        <w:rPr>
          <w:rFonts w:ascii="Century Schoolbook" w:hAnsi="Century Schoolbook"/>
        </w:rPr>
      </w:pPr>
      <w:r w:rsidRPr="00C05E20">
        <w:rPr>
          <w:rFonts w:ascii="Century Schoolbook" w:hAnsi="Century Schoolbook"/>
        </w:rPr>
        <w:t>A person with whom the victim shares a child in common.</w:t>
      </w:r>
    </w:p>
    <w:p w14:paraId="17397D3E" w14:textId="77777777" w:rsidR="00C05E20" w:rsidRPr="00C05E20" w:rsidRDefault="00C05E20" w:rsidP="00C05E20">
      <w:pPr>
        <w:spacing w:after="0" w:line="240" w:lineRule="auto"/>
        <w:rPr>
          <w:rFonts w:ascii="Century Schoolbook" w:hAnsi="Century Schoolbook"/>
        </w:rPr>
      </w:pPr>
    </w:p>
    <w:p w14:paraId="083A711D" w14:textId="24990585" w:rsidR="00C05E20" w:rsidRDefault="00C05E20" w:rsidP="00C05E20">
      <w:pPr>
        <w:pStyle w:val="ListParagraph"/>
        <w:numPr>
          <w:ilvl w:val="0"/>
          <w:numId w:val="8"/>
        </w:numPr>
        <w:spacing w:after="0" w:line="240" w:lineRule="auto"/>
        <w:rPr>
          <w:rFonts w:ascii="Century Schoolbook" w:hAnsi="Century Schoolbook"/>
        </w:rPr>
      </w:pPr>
      <w:r w:rsidRPr="00C05E20">
        <w:rPr>
          <w:rFonts w:ascii="Century Schoolbook" w:hAnsi="Century Schoolbook"/>
        </w:rPr>
        <w:t xml:space="preserve">A person who is </w:t>
      </w:r>
      <w:r w:rsidR="0072647F" w:rsidRPr="00C05E20">
        <w:rPr>
          <w:rFonts w:ascii="Century Schoolbook" w:hAnsi="Century Schoolbook"/>
        </w:rPr>
        <w:t>cohabiting</w:t>
      </w:r>
      <w:r w:rsidRPr="00C05E20">
        <w:rPr>
          <w:rFonts w:ascii="Century Schoolbook" w:hAnsi="Century Schoolbook"/>
        </w:rPr>
        <w:t xml:space="preserve"> with or has cohabited with the victi</w:t>
      </w:r>
      <w:r>
        <w:rPr>
          <w:rFonts w:ascii="Century Schoolbook" w:hAnsi="Century Schoolbook"/>
        </w:rPr>
        <w:t xml:space="preserve">m </w:t>
      </w:r>
      <w:r w:rsidRPr="00C05E20">
        <w:rPr>
          <w:rFonts w:ascii="Century Schoolbook" w:hAnsi="Century Schoolbook"/>
        </w:rPr>
        <w:t>as a spouse, parent, or guardian.</w:t>
      </w:r>
    </w:p>
    <w:p w14:paraId="272E2BC1" w14:textId="77777777" w:rsidR="00C05E20" w:rsidRDefault="00C05E20" w:rsidP="00C05E20">
      <w:pPr>
        <w:pStyle w:val="ListParagraph"/>
        <w:spacing w:after="0" w:line="240" w:lineRule="auto"/>
        <w:ind w:left="1440"/>
        <w:rPr>
          <w:rFonts w:ascii="Century Schoolbook" w:hAnsi="Century Schoolbook"/>
        </w:rPr>
      </w:pPr>
    </w:p>
    <w:p w14:paraId="624D3092" w14:textId="77777777" w:rsidR="00C05E20" w:rsidRDefault="00C05E20" w:rsidP="00C05E20">
      <w:pPr>
        <w:pStyle w:val="ListParagraph"/>
        <w:numPr>
          <w:ilvl w:val="0"/>
          <w:numId w:val="8"/>
        </w:numPr>
        <w:spacing w:after="0" w:line="240" w:lineRule="auto"/>
        <w:rPr>
          <w:rFonts w:ascii="Century Schoolbook" w:hAnsi="Century Schoolbook"/>
        </w:rPr>
      </w:pPr>
      <w:r w:rsidRPr="00C05E20">
        <w:rPr>
          <w:rFonts w:ascii="Century Schoolbook" w:hAnsi="Century Schoolbook"/>
        </w:rPr>
        <w:t>A person similarly situated to a spouse, parent, or guardian of the victim.</w:t>
      </w:r>
    </w:p>
    <w:p w14:paraId="11D6AB53" w14:textId="77777777" w:rsidR="00C05E20" w:rsidRPr="00C05E20" w:rsidRDefault="00C05E20" w:rsidP="00C05E20">
      <w:pPr>
        <w:spacing w:after="0" w:line="240" w:lineRule="auto"/>
        <w:rPr>
          <w:rFonts w:ascii="Century Schoolbook" w:hAnsi="Century Schoolbook"/>
        </w:rPr>
      </w:pPr>
    </w:p>
    <w:p w14:paraId="4385B507" w14:textId="5FBFF5FF" w:rsidR="00C05E20" w:rsidRDefault="00C05E20" w:rsidP="00F54705">
      <w:pPr>
        <w:pStyle w:val="ListParagraph"/>
        <w:numPr>
          <w:ilvl w:val="0"/>
          <w:numId w:val="8"/>
        </w:numPr>
        <w:spacing w:after="0" w:line="240" w:lineRule="auto"/>
        <w:rPr>
          <w:rFonts w:ascii="Century Schoolbook" w:hAnsi="Century Schoolbook"/>
        </w:rPr>
      </w:pPr>
      <w:r w:rsidRPr="00C05E20">
        <w:rPr>
          <w:rFonts w:ascii="Century Schoolbook" w:hAnsi="Century Schoolbook"/>
        </w:rPr>
        <w:t>A person who has a current or recent former dating relationship with the victim.</w:t>
      </w:r>
    </w:p>
    <w:p w14:paraId="0F9D1F67" w14:textId="77777777" w:rsidR="00F54705" w:rsidRPr="00F54705" w:rsidRDefault="00F54705" w:rsidP="00F54705">
      <w:pPr>
        <w:spacing w:after="0" w:line="240" w:lineRule="auto"/>
        <w:rPr>
          <w:rFonts w:ascii="Century Schoolbook" w:hAnsi="Century Schoolbook"/>
        </w:rPr>
      </w:pPr>
    </w:p>
    <w:p w14:paraId="09D22E07" w14:textId="4B6D0998" w:rsidR="00C05E20" w:rsidRDefault="00C05E20" w:rsidP="00C05E20">
      <w:pPr>
        <w:spacing w:after="0" w:line="480" w:lineRule="auto"/>
        <w:ind w:firstLine="720"/>
        <w:rPr>
          <w:rFonts w:ascii="Century Schoolbook" w:hAnsi="Century Schoolbook"/>
        </w:rPr>
      </w:pPr>
      <w:r w:rsidRPr="00C05E20">
        <w:rPr>
          <w:rFonts w:ascii="Century Schoolbook" w:hAnsi="Century Schoolbook"/>
        </w:rPr>
        <w:t xml:space="preserve">With the </w:t>
      </w:r>
      <w:r w:rsidRPr="00C05E20">
        <w:rPr>
          <w:rFonts w:ascii="Century Schoolbook" w:hAnsi="Century Schoolbook"/>
          <w:i/>
          <w:iCs/>
        </w:rPr>
        <w:t>Vinson</w:t>
      </w:r>
      <w:r w:rsidRPr="00C05E20">
        <w:rPr>
          <w:rFonts w:ascii="Century Schoolbook" w:hAnsi="Century Schoolbook"/>
        </w:rPr>
        <w:t xml:space="preserve"> court’s ruling still intact, </w:t>
      </w:r>
      <w:r>
        <w:rPr>
          <w:rFonts w:ascii="Century Schoolbook" w:hAnsi="Century Schoolbook"/>
        </w:rPr>
        <w:t>this new criminal offense</w:t>
      </w:r>
      <w:r w:rsidRPr="00C05E20">
        <w:rPr>
          <w:rFonts w:ascii="Century Schoolbook" w:hAnsi="Century Schoolbook"/>
        </w:rPr>
        <w:t xml:space="preserve"> was written to closely track the language of the federal </w:t>
      </w:r>
      <w:r w:rsidR="00F54705" w:rsidRPr="00C05E20">
        <w:rPr>
          <w:rFonts w:ascii="Century Schoolbook" w:hAnsi="Century Schoolbook"/>
        </w:rPr>
        <w:t>statute</w:t>
      </w:r>
      <w:r w:rsidR="00F54705">
        <w:rPr>
          <w:rFonts w:ascii="Century Schoolbook" w:hAnsi="Century Schoolbook"/>
        </w:rPr>
        <w:t xml:space="preserve"> and</w:t>
      </w:r>
      <w:r w:rsidR="00176B14">
        <w:rPr>
          <w:rFonts w:ascii="Century Schoolbook" w:hAnsi="Century Schoolbook"/>
        </w:rPr>
        <w:t xml:space="preserve"> has probably </w:t>
      </w:r>
      <w:r w:rsidR="005163FD">
        <w:rPr>
          <w:rFonts w:ascii="Century Schoolbook" w:hAnsi="Century Schoolbook"/>
        </w:rPr>
        <w:t xml:space="preserve">remedied the loophole created by that case. </w:t>
      </w:r>
    </w:p>
    <w:p w14:paraId="2010A358" w14:textId="50C303B8" w:rsidR="00737543" w:rsidRDefault="00737543" w:rsidP="00012A72">
      <w:pPr>
        <w:spacing w:after="0" w:line="480" w:lineRule="auto"/>
        <w:ind w:firstLine="720"/>
        <w:jc w:val="center"/>
        <w:rPr>
          <w:rFonts w:ascii="Century Schoolbook" w:hAnsi="Century Schoolbook"/>
        </w:rPr>
      </w:pPr>
      <w:r w:rsidRPr="0005607F">
        <w:rPr>
          <w:rFonts w:ascii="Century Schoolbook" w:hAnsi="Century Schoolbook"/>
          <w:b/>
          <w:bCs/>
          <w:u w:val="single"/>
        </w:rPr>
        <w:lastRenderedPageBreak/>
        <w:t>18 U.S.C. §922(</w:t>
      </w:r>
      <w:r>
        <w:rPr>
          <w:rFonts w:ascii="Century Schoolbook" w:hAnsi="Century Schoolbook"/>
          <w:b/>
          <w:bCs/>
          <w:u w:val="single"/>
        </w:rPr>
        <w:t>n) Persons Under Indictment</w:t>
      </w:r>
    </w:p>
    <w:p w14:paraId="1A49CFBC" w14:textId="6C8C6C67" w:rsidR="00737543" w:rsidRDefault="009E430B" w:rsidP="00737543">
      <w:pPr>
        <w:spacing w:after="0" w:line="480" w:lineRule="auto"/>
        <w:ind w:firstLine="720"/>
        <w:rPr>
          <w:rFonts w:ascii="Century Schoolbook" w:hAnsi="Century Schoolbook"/>
        </w:rPr>
      </w:pPr>
      <w:r>
        <w:rPr>
          <w:rFonts w:ascii="Century Schoolbook" w:hAnsi="Century Schoolbook"/>
        </w:rPr>
        <w:t xml:space="preserve">Section 922(n) makes it unlawful for an individual who is </w:t>
      </w:r>
      <w:r w:rsidR="00033FBC">
        <w:rPr>
          <w:rFonts w:ascii="Century Schoolbook" w:hAnsi="Century Schoolbook"/>
        </w:rPr>
        <w:t xml:space="preserve">under indictment for a felony to </w:t>
      </w:r>
      <w:r w:rsidR="00037018">
        <w:rPr>
          <w:rFonts w:ascii="Century Schoolbook" w:hAnsi="Century Schoolbook"/>
        </w:rPr>
        <w:t xml:space="preserve">willfully </w:t>
      </w:r>
      <w:r w:rsidR="00033FBC">
        <w:rPr>
          <w:rFonts w:ascii="Century Schoolbook" w:hAnsi="Century Schoolbook"/>
        </w:rPr>
        <w:t xml:space="preserve">transport a firearm in interstate commerce or to </w:t>
      </w:r>
      <w:r w:rsidR="00037018">
        <w:rPr>
          <w:rFonts w:ascii="Century Schoolbook" w:hAnsi="Century Schoolbook"/>
        </w:rPr>
        <w:t xml:space="preserve">willfully </w:t>
      </w:r>
      <w:r w:rsidR="00033FBC">
        <w:rPr>
          <w:rFonts w:ascii="Century Schoolbook" w:hAnsi="Century Schoolbook"/>
        </w:rPr>
        <w:t xml:space="preserve">receive a </w:t>
      </w:r>
      <w:r w:rsidR="00037018">
        <w:rPr>
          <w:rFonts w:ascii="Century Schoolbook" w:hAnsi="Century Schoolbook"/>
        </w:rPr>
        <w:t xml:space="preserve">firearm which has been transported in commerce. </w:t>
      </w:r>
    </w:p>
    <w:p w14:paraId="7A75A5B7" w14:textId="651DC540" w:rsidR="00C5176D" w:rsidRPr="00FA4EBF" w:rsidRDefault="00772CD1" w:rsidP="00490946">
      <w:pPr>
        <w:spacing w:after="0" w:line="480" w:lineRule="auto"/>
        <w:ind w:firstLine="720"/>
        <w:rPr>
          <w:rFonts w:ascii="Century Schoolbook" w:hAnsi="Century Schoolbook"/>
        </w:rPr>
      </w:pPr>
      <w:r>
        <w:rPr>
          <w:rFonts w:ascii="Century Schoolbook" w:hAnsi="Century Schoolbook"/>
        </w:rPr>
        <w:t xml:space="preserve">The Fifth Circuit recently considered this regulation in </w:t>
      </w:r>
      <w:r>
        <w:rPr>
          <w:rFonts w:ascii="Century Schoolbook" w:hAnsi="Century Schoolbook"/>
          <w:i/>
          <w:iCs/>
        </w:rPr>
        <w:t>United States v. Quiroz</w:t>
      </w:r>
      <w:r>
        <w:rPr>
          <w:rFonts w:ascii="Century Schoolbook" w:hAnsi="Century Schoolbook"/>
        </w:rPr>
        <w:t xml:space="preserve">, </w:t>
      </w:r>
      <w:r w:rsidR="007176AA">
        <w:rPr>
          <w:rFonts w:ascii="Century Schoolbook" w:hAnsi="Century Schoolbook"/>
        </w:rPr>
        <w:t>125 F.4</w:t>
      </w:r>
      <w:r w:rsidR="007176AA" w:rsidRPr="007176AA">
        <w:rPr>
          <w:rFonts w:ascii="Century Schoolbook" w:hAnsi="Century Schoolbook"/>
          <w:vertAlign w:val="superscript"/>
        </w:rPr>
        <w:t>th</w:t>
      </w:r>
      <w:r w:rsidR="007176AA">
        <w:rPr>
          <w:rFonts w:ascii="Century Schoolbook" w:hAnsi="Century Schoolbook"/>
        </w:rPr>
        <w:t xml:space="preserve"> 713 (5</w:t>
      </w:r>
      <w:r w:rsidR="007176AA" w:rsidRPr="007176AA">
        <w:rPr>
          <w:rFonts w:ascii="Century Schoolbook" w:hAnsi="Century Schoolbook"/>
          <w:vertAlign w:val="superscript"/>
        </w:rPr>
        <w:t>th</w:t>
      </w:r>
      <w:r w:rsidR="007176AA">
        <w:rPr>
          <w:rFonts w:ascii="Century Schoolbook" w:hAnsi="Century Schoolbook"/>
        </w:rPr>
        <w:t xml:space="preserve"> Cir. 2025). </w:t>
      </w:r>
      <w:r w:rsidR="00FA4EBF">
        <w:rPr>
          <w:rFonts w:ascii="Century Schoolbook" w:hAnsi="Century Schoolbook"/>
        </w:rPr>
        <w:t xml:space="preserve">Applying the history and tradition test from </w:t>
      </w:r>
      <w:r w:rsidR="00FA4EBF">
        <w:rPr>
          <w:rFonts w:ascii="Century Schoolbook" w:hAnsi="Century Schoolbook"/>
          <w:i/>
          <w:iCs/>
        </w:rPr>
        <w:t>Bruen</w:t>
      </w:r>
      <w:r w:rsidR="00FA4EBF">
        <w:rPr>
          <w:rFonts w:ascii="Century Schoolbook" w:hAnsi="Century Schoolbook"/>
        </w:rPr>
        <w:t xml:space="preserve">, the Court </w:t>
      </w:r>
      <w:r w:rsidR="00956782">
        <w:rPr>
          <w:rFonts w:ascii="Century Schoolbook" w:hAnsi="Century Schoolbook"/>
        </w:rPr>
        <w:t xml:space="preserve">observed that at the founding, American legislatures provided for the </w:t>
      </w:r>
      <w:r w:rsidR="001E7AB5">
        <w:rPr>
          <w:rFonts w:ascii="Century Schoolbook" w:hAnsi="Century Schoolbook"/>
        </w:rPr>
        <w:t xml:space="preserve">pretrial detention of indicted defendants out of concern for public safety, and that one reason for denying bail in the early republic was to preserve </w:t>
      </w:r>
      <w:r w:rsidR="00BC5EC3">
        <w:rPr>
          <w:rFonts w:ascii="Century Schoolbook" w:hAnsi="Century Schoolbook"/>
        </w:rPr>
        <w:t xml:space="preserve">“the safety of the people” from offenders awaiting trial. Therefore, the Court reasoned, </w:t>
      </w:r>
      <w:r w:rsidR="00DF7850">
        <w:rPr>
          <w:rFonts w:ascii="Century Schoolbook" w:hAnsi="Century Schoolbook"/>
        </w:rPr>
        <w:t>if an individual could be denied firearm possession while in pre</w:t>
      </w:r>
      <w:r w:rsidR="0060440A">
        <w:rPr>
          <w:rFonts w:ascii="Century Schoolbook" w:hAnsi="Century Schoolbook"/>
        </w:rPr>
        <w:t xml:space="preserve">trial detention, it is less burdensome that </w:t>
      </w:r>
      <w:r w:rsidR="00BD6EC8">
        <w:rPr>
          <w:rFonts w:ascii="Century Schoolbook" w:hAnsi="Century Schoolbook"/>
        </w:rPr>
        <w:t xml:space="preserve">only receipt of a firearm, and not possession, is denied when the individual is not detained. </w:t>
      </w:r>
      <w:r w:rsidR="006E6108">
        <w:rPr>
          <w:rFonts w:ascii="Century Schoolbook" w:hAnsi="Century Schoolbook"/>
        </w:rPr>
        <w:t xml:space="preserve">This restriction is, of course, limited to the </w:t>
      </w:r>
      <w:r w:rsidR="0012570D">
        <w:rPr>
          <w:rFonts w:ascii="Century Schoolbook" w:hAnsi="Century Schoolbook"/>
        </w:rPr>
        <w:t xml:space="preserve">period between when an indictment is issued and trial. </w:t>
      </w:r>
    </w:p>
    <w:p w14:paraId="41FFADC5" w14:textId="4C9C37AC" w:rsidR="00C05E20" w:rsidRDefault="00012A72" w:rsidP="00012A72">
      <w:pPr>
        <w:spacing w:after="0" w:line="480" w:lineRule="auto"/>
        <w:ind w:firstLine="720"/>
        <w:jc w:val="center"/>
        <w:rPr>
          <w:rFonts w:ascii="Century Schoolbook" w:hAnsi="Century Schoolbook"/>
        </w:rPr>
      </w:pPr>
      <w:r>
        <w:rPr>
          <w:rFonts w:ascii="Century Schoolbook" w:hAnsi="Century Schoolbook"/>
          <w:b/>
          <w:bCs/>
          <w:u w:val="single"/>
        </w:rPr>
        <w:t>Prohibited Persons – North Carolina</w:t>
      </w:r>
    </w:p>
    <w:p w14:paraId="40C04989" w14:textId="01975850" w:rsidR="00012A72" w:rsidRDefault="00012A72" w:rsidP="00012A72">
      <w:pPr>
        <w:spacing w:after="0" w:line="480" w:lineRule="auto"/>
        <w:rPr>
          <w:rFonts w:ascii="Century Schoolbook" w:hAnsi="Century Schoolbook"/>
        </w:rPr>
      </w:pPr>
      <w:r>
        <w:rPr>
          <w:rFonts w:ascii="Century Schoolbook" w:hAnsi="Century Schoolbook"/>
        </w:rPr>
        <w:tab/>
        <w:t>North Carolina does not have many state-specific prohibitors. Instead, our legislature seems to rely mostly on the federal categories of prohibited persons. There are, however, some North Carolina distinctions.</w:t>
      </w:r>
    </w:p>
    <w:p w14:paraId="581A5341" w14:textId="35C34863" w:rsidR="00012A72" w:rsidRDefault="00012A72" w:rsidP="005629FE">
      <w:pPr>
        <w:spacing w:after="0" w:line="480" w:lineRule="auto"/>
        <w:jc w:val="center"/>
        <w:rPr>
          <w:rFonts w:ascii="Century Schoolbook" w:hAnsi="Century Schoolbook"/>
          <w:u w:val="single"/>
        </w:rPr>
      </w:pPr>
      <w:r w:rsidRPr="00012A72">
        <w:rPr>
          <w:rFonts w:ascii="Century Schoolbook" w:hAnsi="Century Schoolbook"/>
          <w:u w:val="single"/>
        </w:rPr>
        <w:t>§ 14-415.1. Possession of firearms, etc., by felon prohibited.</w:t>
      </w:r>
    </w:p>
    <w:p w14:paraId="1522B58A" w14:textId="77777777" w:rsidR="00012A72" w:rsidRDefault="00012A72" w:rsidP="00012A72">
      <w:pPr>
        <w:spacing w:after="0" w:line="480" w:lineRule="auto"/>
      </w:pPr>
      <w:r>
        <w:rPr>
          <w:rFonts w:ascii="Century Schoolbook" w:hAnsi="Century Schoolbook"/>
        </w:rPr>
        <w:tab/>
        <w:t xml:space="preserve">It is unlawful for </w:t>
      </w:r>
      <w:r w:rsidRPr="00012A72">
        <w:rPr>
          <w:rFonts w:ascii="Century Schoolbook" w:hAnsi="Century Schoolbook"/>
        </w:rPr>
        <w:t>any person who has been convicted of a felony to purchase, own, possess, or have in the person's custody, care, or control any firearm or any weapon of mass death and destruction as defined in G.S. 14-288.8(c).</w:t>
      </w:r>
      <w:r>
        <w:rPr>
          <w:rFonts w:ascii="Century Schoolbook" w:hAnsi="Century Schoolbook"/>
        </w:rPr>
        <w:t xml:space="preserve"> Violation of </w:t>
      </w:r>
      <w:r>
        <w:rPr>
          <w:rFonts w:ascii="Century Schoolbook" w:hAnsi="Century Schoolbook"/>
        </w:rPr>
        <w:lastRenderedPageBreak/>
        <w:t>this offense is a Class G felony. Prior convictions from other jurisdictions which are substantially similar to an offense which is classified as a felony under North Carolina law, and which are punishable by imprisonment for a term exceeding one year, also cause disentitlement under this law.</w:t>
      </w:r>
      <w:r w:rsidRPr="00012A72">
        <w:t xml:space="preserve"> </w:t>
      </w:r>
    </w:p>
    <w:p w14:paraId="26BED8E7" w14:textId="7A29154A" w:rsidR="00012A72" w:rsidRDefault="00012A72" w:rsidP="00012A72">
      <w:pPr>
        <w:spacing w:after="0" w:line="480" w:lineRule="auto"/>
        <w:ind w:firstLine="720"/>
        <w:rPr>
          <w:rFonts w:ascii="Century Schoolbook" w:hAnsi="Century Schoolbook"/>
        </w:rPr>
      </w:pPr>
      <w:r w:rsidRPr="00012A72">
        <w:rPr>
          <w:rFonts w:ascii="Century Schoolbook" w:hAnsi="Century Schoolbook"/>
        </w:rPr>
        <w:t>The term “conviction” is defined as a final judgment in any case in which felony punishment, or imprisonment for a term exceeding one year, as the case may be, is authorized, without regard to the plea entered or to the sentence imposed. A judgment of a conviction of the defendant or a plea of guilty by the defendant to such an offense certified to a superior court of this State from the custodian of records of any state or federal court shall be prima facie evidence of the facts so certified.</w:t>
      </w:r>
    </w:p>
    <w:p w14:paraId="46161B4E" w14:textId="77777777" w:rsidR="00012A72" w:rsidRDefault="00012A72" w:rsidP="00012A72">
      <w:pPr>
        <w:spacing w:after="0" w:line="480" w:lineRule="auto"/>
        <w:ind w:firstLine="720"/>
        <w:rPr>
          <w:rFonts w:ascii="Century Schoolbook" w:hAnsi="Century Schoolbook"/>
        </w:rPr>
      </w:pPr>
      <w:r w:rsidRPr="00012A72">
        <w:rPr>
          <w:rFonts w:ascii="Century Schoolbook" w:hAnsi="Century Schoolbook"/>
        </w:rPr>
        <w:t>This section does not apply to a person who, pursuant to the law of the jurisdiction in which the conviction occurred, has been pardoned or has had his or her firearms rights restored if such restoration of rights could also be granted under North Carolina law.</w:t>
      </w:r>
    </w:p>
    <w:p w14:paraId="311223BD" w14:textId="7092AD7A" w:rsidR="00012A72" w:rsidRDefault="00012A72" w:rsidP="00012A72">
      <w:pPr>
        <w:spacing w:after="0" w:line="480" w:lineRule="auto"/>
        <w:ind w:firstLine="720"/>
        <w:rPr>
          <w:rFonts w:ascii="Century Schoolbook" w:hAnsi="Century Schoolbook"/>
        </w:rPr>
      </w:pPr>
      <w:r w:rsidRPr="00012A72">
        <w:rPr>
          <w:rFonts w:ascii="Century Schoolbook" w:hAnsi="Century Schoolbook"/>
        </w:rPr>
        <w:t>This section does not apply and there is no disentitlement under this section if the felony conviction is a violation under the laws of North Carolina, another state, or the United States that pertains to antitrust violations, unfair trade practices, or restraints of trade.</w:t>
      </w:r>
    </w:p>
    <w:p w14:paraId="656B31AA" w14:textId="03E343EE" w:rsidR="00831D03" w:rsidRDefault="00831D03" w:rsidP="00012A72">
      <w:pPr>
        <w:spacing w:after="0" w:line="480" w:lineRule="auto"/>
        <w:ind w:firstLine="720"/>
        <w:rPr>
          <w:rFonts w:ascii="Century Schoolbook" w:hAnsi="Century Schoolbook"/>
        </w:rPr>
      </w:pPr>
      <w:r>
        <w:rPr>
          <w:rFonts w:ascii="Century Schoolbook" w:hAnsi="Century Schoolbook"/>
        </w:rPr>
        <w:t xml:space="preserve">This law was challenged under the Second Amendment in </w:t>
      </w:r>
      <w:r w:rsidR="00776356" w:rsidRPr="00831D03">
        <w:rPr>
          <w:rFonts w:ascii="Century Schoolbook" w:hAnsi="Century Schoolbook"/>
          <w:i/>
          <w:iCs/>
        </w:rPr>
        <w:t>State v. Ducker</w:t>
      </w:r>
      <w:r w:rsidR="00776356" w:rsidRPr="00831D03">
        <w:rPr>
          <w:rFonts w:ascii="Century Schoolbook" w:hAnsi="Century Schoolbook"/>
        </w:rPr>
        <w:t>, 917 S.E.2d 266</w:t>
      </w:r>
      <w:r w:rsidR="00776356">
        <w:rPr>
          <w:rFonts w:ascii="Century Schoolbook" w:hAnsi="Century Schoolbook"/>
        </w:rPr>
        <w:t xml:space="preserve"> (2025) (cert denied) </w:t>
      </w:r>
      <w:r>
        <w:rPr>
          <w:rFonts w:ascii="Century Schoolbook" w:hAnsi="Century Schoolbook"/>
        </w:rPr>
        <w:t>and the North Carolina Court of Appeal found that it does</w:t>
      </w:r>
      <w:r w:rsidRPr="00831D03">
        <w:rPr>
          <w:rFonts w:ascii="Century Schoolbook" w:hAnsi="Century Schoolbook"/>
        </w:rPr>
        <w:t xml:space="preserve"> not violate the Second Amendment right to bear arms as applied to </w:t>
      </w:r>
      <w:r>
        <w:rPr>
          <w:rFonts w:ascii="Century Schoolbook" w:hAnsi="Century Schoolbook"/>
        </w:rPr>
        <w:t xml:space="preserve">a </w:t>
      </w:r>
      <w:r w:rsidRPr="00831D03">
        <w:rPr>
          <w:rFonts w:ascii="Century Schoolbook" w:hAnsi="Century Schoolbook"/>
        </w:rPr>
        <w:lastRenderedPageBreak/>
        <w:t>defendant who was convicted, upon guilty plea, to attempted fleeing to elude arrest with aggravating factors</w:t>
      </w:r>
      <w:r>
        <w:rPr>
          <w:rFonts w:ascii="Century Schoolbook" w:hAnsi="Century Schoolbook"/>
        </w:rPr>
        <w:t xml:space="preserve">. The Court found that the </w:t>
      </w:r>
      <w:r w:rsidRPr="00831D03">
        <w:rPr>
          <w:rFonts w:ascii="Century Schoolbook" w:hAnsi="Century Schoolbook"/>
        </w:rPr>
        <w:t xml:space="preserve">Second Amendment right to bears arms was </w:t>
      </w:r>
      <w:r>
        <w:rPr>
          <w:rFonts w:ascii="Century Schoolbook" w:hAnsi="Century Schoolbook"/>
        </w:rPr>
        <w:t xml:space="preserve">a </w:t>
      </w:r>
      <w:r w:rsidRPr="00831D03">
        <w:rPr>
          <w:rFonts w:ascii="Century Schoolbook" w:hAnsi="Century Schoolbook"/>
        </w:rPr>
        <w:t xml:space="preserve">right afforded to “law-abiding citizens,” and convicted felons were not law-abiding citizens, such that </w:t>
      </w:r>
      <w:r>
        <w:rPr>
          <w:rFonts w:ascii="Century Schoolbook" w:hAnsi="Century Schoolbook"/>
        </w:rPr>
        <w:t xml:space="preserve">the </w:t>
      </w:r>
      <w:r w:rsidRPr="00831D03">
        <w:rPr>
          <w:rFonts w:ascii="Century Schoolbook" w:hAnsi="Century Schoolbook"/>
        </w:rPr>
        <w:t>statute regulated conduct outside of Second Amendment's protections.</w:t>
      </w:r>
      <w:r>
        <w:rPr>
          <w:rFonts w:ascii="Century Schoolbook" w:hAnsi="Century Schoolbook"/>
        </w:rPr>
        <w:t xml:space="preserve"> </w:t>
      </w:r>
    </w:p>
    <w:p w14:paraId="1C3782D9" w14:textId="362D730C" w:rsidR="00831D03" w:rsidRDefault="00831D03" w:rsidP="00012A72">
      <w:pPr>
        <w:spacing w:after="0" w:line="480" w:lineRule="auto"/>
        <w:ind w:firstLine="720"/>
        <w:rPr>
          <w:rFonts w:ascii="Century Schoolbook" w:hAnsi="Century Schoolbook"/>
        </w:rPr>
      </w:pPr>
      <w:r>
        <w:rPr>
          <w:rFonts w:ascii="Century Schoolbook" w:hAnsi="Century Schoolbook"/>
        </w:rPr>
        <w:t xml:space="preserve">Additionally, in </w:t>
      </w:r>
      <w:r w:rsidR="00776356" w:rsidRPr="00831D03">
        <w:rPr>
          <w:rFonts w:ascii="Century Schoolbook" w:hAnsi="Century Schoolbook"/>
          <w:i/>
          <w:iCs/>
        </w:rPr>
        <w:t>State v. Nanes</w:t>
      </w:r>
      <w:r w:rsidR="00776356" w:rsidRPr="00831D03">
        <w:rPr>
          <w:rFonts w:ascii="Century Schoolbook" w:hAnsi="Century Schoolbook"/>
        </w:rPr>
        <w:t>,</w:t>
      </w:r>
      <w:r w:rsidR="00776356">
        <w:rPr>
          <w:rFonts w:ascii="Century Schoolbook" w:hAnsi="Century Schoolbook"/>
        </w:rPr>
        <w:t xml:space="preserve"> </w:t>
      </w:r>
      <w:r w:rsidR="00776356" w:rsidRPr="00831D03">
        <w:rPr>
          <w:rFonts w:ascii="Century Schoolbook" w:hAnsi="Century Schoolbook"/>
        </w:rPr>
        <w:t>912 S.E.2d 202</w:t>
      </w:r>
      <w:r w:rsidR="00776356">
        <w:rPr>
          <w:rFonts w:ascii="Century Schoolbook" w:hAnsi="Century Schoolbook"/>
        </w:rPr>
        <w:t xml:space="preserve"> (2025)</w:t>
      </w:r>
      <w:r>
        <w:rPr>
          <w:rFonts w:ascii="Century Schoolbook" w:hAnsi="Century Schoolbook"/>
        </w:rPr>
        <w:t>, the North Carolina Court of Appeals found that this law</w:t>
      </w:r>
      <w:r w:rsidRPr="00831D03">
        <w:rPr>
          <w:rFonts w:ascii="Century Schoolbook" w:hAnsi="Century Schoolbook"/>
        </w:rPr>
        <w:t xml:space="preserve"> </w:t>
      </w:r>
      <w:r>
        <w:rPr>
          <w:rFonts w:ascii="Century Schoolbook" w:hAnsi="Century Schoolbook"/>
        </w:rPr>
        <w:t>is</w:t>
      </w:r>
      <w:r w:rsidRPr="00831D03">
        <w:rPr>
          <w:rFonts w:ascii="Century Schoolbook" w:hAnsi="Century Schoolbook"/>
        </w:rPr>
        <w:t xml:space="preserve"> facially constitutional under Second Amendment</w:t>
      </w:r>
      <w:r>
        <w:rPr>
          <w:rFonts w:ascii="Century Schoolbook" w:hAnsi="Century Schoolbook"/>
        </w:rPr>
        <w:t xml:space="preserve"> because it</w:t>
      </w:r>
      <w:r w:rsidRPr="00831D03">
        <w:rPr>
          <w:rFonts w:ascii="Century Schoolbook" w:hAnsi="Century Schoolbook"/>
        </w:rPr>
        <w:t xml:space="preserve"> regulate</w:t>
      </w:r>
      <w:r>
        <w:rPr>
          <w:rFonts w:ascii="Century Schoolbook" w:hAnsi="Century Schoolbook"/>
        </w:rPr>
        <w:t>s</w:t>
      </w:r>
      <w:r w:rsidRPr="00831D03">
        <w:rPr>
          <w:rFonts w:ascii="Century Schoolbook" w:hAnsi="Century Schoolbook"/>
        </w:rPr>
        <w:t xml:space="preserve"> conduct that the Second Amendment's plain text covered as it revoke</w:t>
      </w:r>
      <w:r>
        <w:rPr>
          <w:rFonts w:ascii="Century Schoolbook" w:hAnsi="Century Schoolbook"/>
        </w:rPr>
        <w:t>s an</w:t>
      </w:r>
      <w:r w:rsidRPr="00831D03">
        <w:rPr>
          <w:rFonts w:ascii="Century Schoolbook" w:hAnsi="Century Schoolbook"/>
        </w:rPr>
        <w:t xml:space="preserve"> individual's right to keep and bear arms following a felony conviction, and </w:t>
      </w:r>
      <w:r w:rsidR="008B4F44">
        <w:rPr>
          <w:rFonts w:ascii="Century Schoolbook" w:hAnsi="Century Schoolbook"/>
        </w:rPr>
        <w:t xml:space="preserve">that </w:t>
      </w:r>
      <w:r>
        <w:rPr>
          <w:rFonts w:ascii="Century Schoolbook" w:hAnsi="Century Schoolbook"/>
        </w:rPr>
        <w:t xml:space="preserve">the </w:t>
      </w:r>
      <w:r w:rsidRPr="00831D03">
        <w:rPr>
          <w:rFonts w:ascii="Century Schoolbook" w:hAnsi="Century Schoolbook"/>
        </w:rPr>
        <w:t xml:space="preserve">statute </w:t>
      </w:r>
      <w:r>
        <w:rPr>
          <w:rFonts w:ascii="Century Schoolbook" w:hAnsi="Century Schoolbook"/>
        </w:rPr>
        <w:t>is</w:t>
      </w:r>
      <w:r w:rsidRPr="00831D03">
        <w:rPr>
          <w:rFonts w:ascii="Century Schoolbook" w:hAnsi="Century Schoolbook"/>
        </w:rPr>
        <w:t xml:space="preserve"> sufficiently analogous to historical laws to show that prohibiting convicted felons from possessing firearms</w:t>
      </w:r>
      <w:r>
        <w:rPr>
          <w:rFonts w:ascii="Century Schoolbook" w:hAnsi="Century Schoolbook"/>
        </w:rPr>
        <w:t xml:space="preserve"> is</w:t>
      </w:r>
      <w:r w:rsidRPr="00831D03">
        <w:rPr>
          <w:rFonts w:ascii="Century Schoolbook" w:hAnsi="Century Schoolbook"/>
        </w:rPr>
        <w:t xml:space="preserve"> within the </w:t>
      </w:r>
      <w:r w:rsidR="008B4F44">
        <w:rPr>
          <w:rFonts w:ascii="Century Schoolbook" w:hAnsi="Century Schoolbook"/>
        </w:rPr>
        <w:t>n</w:t>
      </w:r>
      <w:r w:rsidRPr="00831D03">
        <w:rPr>
          <w:rFonts w:ascii="Century Schoolbook" w:hAnsi="Century Schoolbook"/>
        </w:rPr>
        <w:t>ation's history and tradition of firearm regulation.</w:t>
      </w:r>
      <w:r w:rsidRPr="00831D03">
        <w:t xml:space="preserve"> </w:t>
      </w:r>
    </w:p>
    <w:p w14:paraId="541112C6" w14:textId="77777777" w:rsidR="00993EB0" w:rsidRPr="00993EB0" w:rsidRDefault="00993EB0" w:rsidP="005629FE">
      <w:pPr>
        <w:jc w:val="center"/>
        <w:rPr>
          <w:rFonts w:ascii="Century Schoolbook" w:hAnsi="Century Schoolbook"/>
          <w:u w:val="single"/>
        </w:rPr>
      </w:pPr>
      <w:r w:rsidRPr="00993EB0">
        <w:rPr>
          <w:rFonts w:ascii="Century Schoolbook" w:hAnsi="Century Schoolbook"/>
          <w:u w:val="single"/>
        </w:rPr>
        <w:t>§ 14-269.8. Purchase or possession of firearms by person subject to domestic violence order prohibited.</w:t>
      </w:r>
    </w:p>
    <w:p w14:paraId="29CF7820" w14:textId="6BBEF0C7" w:rsidR="00993EB0" w:rsidRDefault="00993EB0" w:rsidP="00012A72">
      <w:pPr>
        <w:spacing w:after="0" w:line="480" w:lineRule="auto"/>
        <w:ind w:firstLine="720"/>
        <w:rPr>
          <w:rFonts w:ascii="Century Schoolbook" w:hAnsi="Century Schoolbook"/>
        </w:rPr>
      </w:pPr>
      <w:r>
        <w:rPr>
          <w:rFonts w:ascii="Century Schoolbook" w:hAnsi="Century Schoolbook"/>
        </w:rPr>
        <w:t>I</w:t>
      </w:r>
      <w:r w:rsidRPr="00993EB0">
        <w:rPr>
          <w:rFonts w:ascii="Century Schoolbook" w:hAnsi="Century Schoolbook"/>
        </w:rPr>
        <w:t>t is unlawful for any person to possess, purchase, or receive or attempt to possess, purchase, or receive a firearm, as defined in G.S. 14-409.39(2), machine gun, ammunition, or permits to purchase or carry concealed firearms if ordered by the court for so long as that protective order or any successive protective order entered against that person pursuant to Chapter 50B of the General Statutes is in effect.</w:t>
      </w:r>
      <w:r>
        <w:rPr>
          <w:rFonts w:ascii="Century Schoolbook" w:hAnsi="Century Schoolbook"/>
        </w:rPr>
        <w:t xml:space="preserve"> Violation of this section is a Class H felony. </w:t>
      </w:r>
    </w:p>
    <w:p w14:paraId="0620A2D3" w14:textId="5C245262" w:rsidR="00993EB0" w:rsidRDefault="00993EB0" w:rsidP="00012A72">
      <w:pPr>
        <w:spacing w:after="0" w:line="480" w:lineRule="auto"/>
        <w:ind w:firstLine="720"/>
        <w:rPr>
          <w:rFonts w:ascii="Century Schoolbook" w:hAnsi="Century Schoolbook"/>
        </w:rPr>
      </w:pPr>
      <w:r>
        <w:rPr>
          <w:rFonts w:ascii="Century Schoolbook" w:hAnsi="Century Schoolbook"/>
        </w:rPr>
        <w:t>Though no post-</w:t>
      </w:r>
      <w:r>
        <w:rPr>
          <w:rFonts w:ascii="Century Schoolbook" w:hAnsi="Century Schoolbook"/>
          <w:i/>
          <w:iCs/>
        </w:rPr>
        <w:t>Bruen</w:t>
      </w:r>
      <w:r>
        <w:rPr>
          <w:rFonts w:ascii="Century Schoolbook" w:hAnsi="Century Schoolbook"/>
        </w:rPr>
        <w:t xml:space="preserve"> decisions have been issued regarding this statute, it is likely that the U.S. Supreme Court’s holding in </w:t>
      </w:r>
      <w:r>
        <w:rPr>
          <w:rFonts w:ascii="Century Schoolbook" w:hAnsi="Century Schoolbook"/>
          <w:i/>
          <w:iCs/>
        </w:rPr>
        <w:t>Rahimi</w:t>
      </w:r>
      <w:r>
        <w:rPr>
          <w:rFonts w:ascii="Century Schoolbook" w:hAnsi="Century Schoolbook"/>
        </w:rPr>
        <w:t xml:space="preserve"> would require our state courts to uphold this law. </w:t>
      </w:r>
    </w:p>
    <w:p w14:paraId="7D7CF0D1" w14:textId="25FE7107" w:rsidR="00993EB0" w:rsidRDefault="00993EB0" w:rsidP="005629FE">
      <w:pPr>
        <w:spacing w:after="0" w:line="240" w:lineRule="auto"/>
        <w:jc w:val="center"/>
        <w:rPr>
          <w:rFonts w:ascii="Century Schoolbook" w:hAnsi="Century Schoolbook"/>
          <w:u w:val="single"/>
        </w:rPr>
      </w:pPr>
      <w:r w:rsidRPr="00993EB0">
        <w:rPr>
          <w:rFonts w:ascii="Century Schoolbook" w:hAnsi="Century Schoolbook"/>
          <w:u w:val="single"/>
        </w:rPr>
        <w:lastRenderedPageBreak/>
        <w:t>§ 14-415.3. Possession of a firearm or weapon of mass destruction by persons acquitted of certain crimes by reason of insanity or persons determined to be incapable to proceed prohibited.</w:t>
      </w:r>
    </w:p>
    <w:p w14:paraId="46AE6FD6" w14:textId="5D398D10" w:rsidR="00993EB0" w:rsidRDefault="00993EB0" w:rsidP="00993EB0">
      <w:pPr>
        <w:spacing w:after="0" w:line="240" w:lineRule="auto"/>
        <w:rPr>
          <w:rFonts w:ascii="Century Schoolbook" w:hAnsi="Century Schoolbook"/>
          <w:u w:val="single"/>
        </w:rPr>
      </w:pPr>
    </w:p>
    <w:p w14:paraId="15F928D8" w14:textId="178ECA3F" w:rsidR="00993EB0" w:rsidRDefault="00993EB0" w:rsidP="00993EB0">
      <w:pPr>
        <w:spacing w:after="0" w:line="480" w:lineRule="auto"/>
        <w:ind w:firstLine="720"/>
        <w:rPr>
          <w:rFonts w:ascii="Century Schoolbook" w:hAnsi="Century Schoolbook"/>
        </w:rPr>
      </w:pPr>
      <w:r>
        <w:rPr>
          <w:rFonts w:ascii="Century Schoolbook" w:hAnsi="Century Schoolbook"/>
        </w:rPr>
        <w:t xml:space="preserve">It is unlawful for an individual to </w:t>
      </w:r>
      <w:r w:rsidRPr="00993EB0">
        <w:rPr>
          <w:rFonts w:ascii="Century Schoolbook" w:hAnsi="Century Schoolbook"/>
        </w:rPr>
        <w:t>purchase, own, possess, or have in the person's custody, care, or control, any firearm or any weapon of mass death and destruction as defined by G.S. 14-288.8(c)</w:t>
      </w:r>
      <w:r>
        <w:rPr>
          <w:rFonts w:ascii="Century Schoolbook" w:hAnsi="Century Schoolbook"/>
        </w:rPr>
        <w:t xml:space="preserve"> if the individual </w:t>
      </w:r>
      <w:r w:rsidRPr="00993EB0">
        <w:rPr>
          <w:rFonts w:ascii="Century Schoolbook" w:hAnsi="Century Schoolbook"/>
        </w:rPr>
        <w:t>has been acquitted by reason of insanity</w:t>
      </w:r>
      <w:r w:rsidR="00401669">
        <w:rPr>
          <w:rFonts w:ascii="Century Schoolbook" w:hAnsi="Century Schoolbook"/>
        </w:rPr>
        <w:t>, or</w:t>
      </w:r>
      <w:r w:rsidR="00401669" w:rsidRPr="00401669">
        <w:rPr>
          <w:rFonts w:ascii="Century Schoolbook" w:hAnsi="Century Schoolbook"/>
        </w:rPr>
        <w:t xml:space="preserve"> has been determined to lack capacity to proceed as provided in G.S. 15A-1002</w:t>
      </w:r>
      <w:r w:rsidR="00401669">
        <w:rPr>
          <w:rFonts w:ascii="Century Schoolbook" w:hAnsi="Century Schoolbook"/>
        </w:rPr>
        <w:t>, for</w:t>
      </w:r>
      <w:r w:rsidRPr="00993EB0">
        <w:rPr>
          <w:rFonts w:ascii="Century Schoolbook" w:hAnsi="Century Schoolbook"/>
        </w:rPr>
        <w:t xml:space="preserve"> any crime set out in G.S. 14-415.1(b)</w:t>
      </w:r>
      <w:r>
        <w:rPr>
          <w:rFonts w:ascii="Century Schoolbook" w:hAnsi="Century Schoolbook"/>
        </w:rPr>
        <w:t xml:space="preserve"> (felony)</w:t>
      </w:r>
      <w:r w:rsidRPr="00993EB0">
        <w:rPr>
          <w:rFonts w:ascii="Century Schoolbook" w:hAnsi="Century Schoolbook"/>
        </w:rPr>
        <w:t xml:space="preserve"> or any violation of G.S. 14-33(b)(1)</w:t>
      </w:r>
      <w:r>
        <w:rPr>
          <w:rFonts w:ascii="Century Schoolbook" w:hAnsi="Century Schoolbook"/>
        </w:rPr>
        <w:t>(repealed)</w:t>
      </w:r>
      <w:r w:rsidRPr="00993EB0">
        <w:rPr>
          <w:rFonts w:ascii="Century Schoolbook" w:hAnsi="Century Schoolbook"/>
        </w:rPr>
        <w:t>, 14-33(b)(8)</w:t>
      </w:r>
      <w:r>
        <w:rPr>
          <w:rFonts w:ascii="Century Schoolbook" w:hAnsi="Century Schoolbook"/>
        </w:rPr>
        <w:t>(repealed)</w:t>
      </w:r>
      <w:r w:rsidRPr="00993EB0">
        <w:rPr>
          <w:rFonts w:ascii="Century Schoolbook" w:hAnsi="Century Schoolbook"/>
        </w:rPr>
        <w:t>, or 14-34</w:t>
      </w:r>
      <w:r>
        <w:rPr>
          <w:rFonts w:ascii="Century Schoolbook" w:hAnsi="Century Schoolbook"/>
        </w:rPr>
        <w:t xml:space="preserve"> (assault by pointing a gun)</w:t>
      </w:r>
      <w:r w:rsidR="00401669">
        <w:rPr>
          <w:rFonts w:ascii="Century Schoolbook" w:hAnsi="Century Schoolbook"/>
        </w:rPr>
        <w:t xml:space="preserve">. Violation of this section is a Class H felony. </w:t>
      </w:r>
      <w:r w:rsidR="00401669" w:rsidRPr="00401669">
        <w:rPr>
          <w:rFonts w:ascii="Century Schoolbook" w:hAnsi="Century Schoolbook"/>
        </w:rPr>
        <w:t>The provisions of this section shall not apply to a person whose rights have been restored pursuant to G.S. 14-409.42.</w:t>
      </w:r>
    </w:p>
    <w:p w14:paraId="2F92329C" w14:textId="49B2E651" w:rsidR="00665D83" w:rsidRDefault="00665D83" w:rsidP="005629FE">
      <w:pPr>
        <w:spacing w:after="0" w:line="480" w:lineRule="auto"/>
        <w:jc w:val="center"/>
        <w:rPr>
          <w:rFonts w:ascii="Century Schoolbook" w:hAnsi="Century Schoolbook"/>
          <w:u w:val="single"/>
        </w:rPr>
      </w:pPr>
      <w:r w:rsidRPr="00665D83">
        <w:rPr>
          <w:rFonts w:ascii="Century Schoolbook" w:hAnsi="Century Schoolbook"/>
          <w:u w:val="single"/>
        </w:rPr>
        <w:t>§ 15A-1343. Conditions of probation</w:t>
      </w:r>
    </w:p>
    <w:p w14:paraId="3A97713F" w14:textId="3063882E" w:rsidR="00665D83" w:rsidRDefault="00562A36" w:rsidP="00665D83">
      <w:pPr>
        <w:spacing w:after="0" w:line="480" w:lineRule="auto"/>
        <w:rPr>
          <w:rFonts w:ascii="Century Schoolbook" w:hAnsi="Century Schoolbook"/>
        </w:rPr>
      </w:pPr>
      <w:r>
        <w:rPr>
          <w:rFonts w:ascii="Century Schoolbook" w:hAnsi="Century Schoolbook"/>
        </w:rPr>
        <w:tab/>
        <w:t xml:space="preserve">As a regular condition of probation, a defendant must “possess no firearm, firearm ammunition, explosive device, or other deadly weapon listed in G.S. 14-269 without the written permission of the court.” G.S. </w:t>
      </w:r>
      <w:r w:rsidRPr="00562A36">
        <w:rPr>
          <w:rFonts w:ascii="Century Schoolbook" w:hAnsi="Century Schoolbook"/>
        </w:rPr>
        <w:t>§ 15A-1343</w:t>
      </w:r>
      <w:r>
        <w:rPr>
          <w:rFonts w:ascii="Century Schoolbook" w:hAnsi="Century Schoolbook"/>
        </w:rPr>
        <w:t>(b)(5).</w:t>
      </w:r>
    </w:p>
    <w:p w14:paraId="4E01E412" w14:textId="0DFAA801" w:rsidR="00562A36" w:rsidRDefault="00562A36" w:rsidP="00665D83">
      <w:pPr>
        <w:spacing w:after="0" w:line="480" w:lineRule="auto"/>
        <w:rPr>
          <w:rFonts w:ascii="Century Schoolbook" w:hAnsi="Century Schoolbook"/>
        </w:rPr>
      </w:pPr>
      <w:r>
        <w:rPr>
          <w:rFonts w:ascii="Century Schoolbook" w:hAnsi="Century Schoolbook"/>
        </w:rPr>
        <w:tab/>
        <w:t xml:space="preserve">This condition of probation was challenged in </w:t>
      </w:r>
      <w:r w:rsidR="00754E55" w:rsidRPr="003143FA">
        <w:rPr>
          <w:rFonts w:ascii="Century Schoolbook" w:hAnsi="Century Schoolbook"/>
          <w:i/>
          <w:iCs/>
        </w:rPr>
        <w:t>State v. Parker</w:t>
      </w:r>
      <w:r w:rsidR="00754E55" w:rsidRPr="003143FA">
        <w:rPr>
          <w:rFonts w:ascii="Century Schoolbook" w:hAnsi="Century Schoolbook"/>
        </w:rPr>
        <w:t xml:space="preserve">, </w:t>
      </w:r>
      <w:r w:rsidR="00754E55">
        <w:rPr>
          <w:rFonts w:ascii="Century Schoolbook" w:hAnsi="Century Schoolbook"/>
        </w:rPr>
        <w:t>2</w:t>
      </w:r>
      <w:r w:rsidR="00754E55" w:rsidRPr="003143FA">
        <w:rPr>
          <w:rFonts w:ascii="Century Schoolbook" w:hAnsi="Century Schoolbook"/>
        </w:rPr>
        <w:t>86 S.E.2d 366</w:t>
      </w:r>
      <w:r w:rsidR="00754E55">
        <w:rPr>
          <w:rFonts w:ascii="Century Schoolbook" w:hAnsi="Century Schoolbook"/>
        </w:rPr>
        <w:t xml:space="preserve"> (1982)</w:t>
      </w:r>
      <w:r>
        <w:rPr>
          <w:rFonts w:ascii="Century Schoolbook" w:hAnsi="Century Schoolbook"/>
        </w:rPr>
        <w:t xml:space="preserve">. The defendant was convicted of injury to personal property for sawing down a light pole. The defendant challenged his firearms prohibition on the grounds that </w:t>
      </w:r>
      <w:r w:rsidR="003143FA">
        <w:rPr>
          <w:rFonts w:ascii="Century Schoolbook" w:hAnsi="Century Schoolbook"/>
        </w:rPr>
        <w:t>this offense did not involve firearms. The court found that this condition was not a creation of the trial court, but one of the “appropriate conditions” of probation specifically authorized by the legislature, and therefore the firearms prohibition was binding on the defendant.</w:t>
      </w:r>
      <w:r w:rsidR="00754E55">
        <w:rPr>
          <w:rFonts w:ascii="Century Schoolbook" w:hAnsi="Century Schoolbook"/>
        </w:rPr>
        <w:t xml:space="preserve"> </w:t>
      </w:r>
      <w:r w:rsidR="003143FA">
        <w:rPr>
          <w:rFonts w:ascii="Century Schoolbook" w:hAnsi="Century Schoolbook"/>
        </w:rPr>
        <w:t xml:space="preserve">This case was decided prior to </w:t>
      </w:r>
      <w:r w:rsidR="003143FA">
        <w:rPr>
          <w:rFonts w:ascii="Century Schoolbook" w:hAnsi="Century Schoolbook"/>
          <w:i/>
          <w:iCs/>
        </w:rPr>
        <w:t>Bruen</w:t>
      </w:r>
      <w:r w:rsidR="003143FA">
        <w:rPr>
          <w:rFonts w:ascii="Century Schoolbook" w:hAnsi="Century Schoolbook"/>
        </w:rPr>
        <w:t xml:space="preserve">, and it is </w:t>
      </w:r>
      <w:r w:rsidR="003143FA">
        <w:rPr>
          <w:rFonts w:ascii="Century Schoolbook" w:hAnsi="Century Schoolbook"/>
        </w:rPr>
        <w:lastRenderedPageBreak/>
        <w:t xml:space="preserve">unclear if this statutory condition of probation satisfies the history and tradition test, especially in non-violent misdemeanor cases. </w:t>
      </w:r>
    </w:p>
    <w:p w14:paraId="18D9C1E1" w14:textId="52AE700B" w:rsidR="00F13AFB" w:rsidRDefault="00F13AFB" w:rsidP="00665D83">
      <w:pPr>
        <w:spacing w:after="0" w:line="480" w:lineRule="auto"/>
        <w:rPr>
          <w:rFonts w:ascii="Century Schoolbook" w:hAnsi="Century Schoolbook"/>
        </w:rPr>
      </w:pPr>
      <w:r>
        <w:rPr>
          <w:rFonts w:ascii="Century Schoolbook" w:hAnsi="Century Schoolbook"/>
        </w:rPr>
        <w:tab/>
        <w:t xml:space="preserve">Under </w:t>
      </w:r>
      <w:r w:rsidRPr="00F13AFB">
        <w:rPr>
          <w:rFonts w:ascii="Century Schoolbook" w:hAnsi="Century Schoolbook"/>
        </w:rPr>
        <w:t>§ 15A-134</w:t>
      </w:r>
      <w:r>
        <w:rPr>
          <w:rFonts w:ascii="Century Schoolbook" w:hAnsi="Century Schoolbook"/>
        </w:rPr>
        <w:t xml:space="preserve">1(b), the court may place a person on supervised or unsupervised probation. A person on unsupervised probation is subject to all incidents of probation except supervision by or assignment to a probation officer. This seems to indicate that an individual with no prior criminal history who has been convicted of a Class 2 Misdemeanor (a “C” block) who is sentenced to community punishment </w:t>
      </w:r>
      <w:r w:rsidR="005312B8">
        <w:rPr>
          <w:rFonts w:ascii="Century Schoolbook" w:hAnsi="Century Schoolbook"/>
        </w:rPr>
        <w:t xml:space="preserve">(as required under G.S. 15A-1340.11(2)) is subject to a firearms prohibition for the duration of their probation (whether supervised or unsupervised). </w:t>
      </w:r>
    </w:p>
    <w:p w14:paraId="0DF16BD6" w14:textId="5EE05C72" w:rsidR="00665D83" w:rsidRDefault="00665D83" w:rsidP="005629FE">
      <w:pPr>
        <w:spacing w:after="0" w:line="480" w:lineRule="auto"/>
        <w:jc w:val="center"/>
        <w:rPr>
          <w:rFonts w:ascii="Century Schoolbook" w:hAnsi="Century Schoolbook"/>
          <w:u w:val="single"/>
        </w:rPr>
      </w:pPr>
      <w:r w:rsidRPr="00665D83">
        <w:rPr>
          <w:rFonts w:ascii="Century Schoolbook" w:hAnsi="Century Schoolbook"/>
          <w:u w:val="single"/>
        </w:rPr>
        <w:t>§ 15A-1368.4. Conditions of post-release supervision</w:t>
      </w:r>
    </w:p>
    <w:p w14:paraId="42032730" w14:textId="0DA5B69C" w:rsidR="002A67F7" w:rsidRDefault="003143FA" w:rsidP="002A67F7">
      <w:pPr>
        <w:spacing w:after="0" w:line="480" w:lineRule="auto"/>
        <w:rPr>
          <w:rFonts w:ascii="Century Schoolbook" w:hAnsi="Century Schoolbook"/>
        </w:rPr>
      </w:pPr>
      <w:r>
        <w:rPr>
          <w:rFonts w:ascii="Century Schoolbook" w:hAnsi="Century Schoolbook"/>
        </w:rPr>
        <w:tab/>
        <w:t xml:space="preserve">Appropriate controlling conditions, violation of which may result in revocation of post-release supervision includes "possess no firearm, firearm ammunition, explosive device, or other deadly weapon listed in G.S. 14-269 unless granted written permission by the Commission.” G.S. </w:t>
      </w:r>
      <w:r w:rsidRPr="003143FA">
        <w:rPr>
          <w:rFonts w:ascii="Century Schoolbook" w:hAnsi="Century Schoolbook"/>
        </w:rPr>
        <w:t>§ 15A-1368.4</w:t>
      </w:r>
      <w:r>
        <w:rPr>
          <w:rFonts w:ascii="Century Schoolbook" w:hAnsi="Century Schoolbook"/>
        </w:rPr>
        <w:t xml:space="preserve">(e)(4). </w:t>
      </w:r>
    </w:p>
    <w:p w14:paraId="5D9F2780" w14:textId="1F589EC0" w:rsidR="000D4092" w:rsidRDefault="003143FA" w:rsidP="00EE7DE7">
      <w:pPr>
        <w:spacing w:after="0" w:line="480" w:lineRule="auto"/>
        <w:rPr>
          <w:rFonts w:ascii="Century Schoolbook" w:hAnsi="Century Schoolbook"/>
        </w:rPr>
      </w:pPr>
      <w:r>
        <w:rPr>
          <w:rFonts w:ascii="Century Schoolbook" w:hAnsi="Century Schoolbook"/>
        </w:rPr>
        <w:tab/>
        <w:t xml:space="preserve">This prohibition is constitutional because it is not possible to be subject to post-release supervision absent a felony conviction, which constitutes a separate prohibitor. </w:t>
      </w:r>
    </w:p>
    <w:p w14:paraId="04EE342E" w14:textId="555FF74D" w:rsidR="0069019D" w:rsidRDefault="0069019D" w:rsidP="000D4092">
      <w:pPr>
        <w:spacing w:after="0" w:line="480" w:lineRule="auto"/>
        <w:jc w:val="center"/>
        <w:rPr>
          <w:rFonts w:ascii="Century Schoolbook" w:hAnsi="Century Schoolbook"/>
          <w:u w:val="single"/>
        </w:rPr>
      </w:pPr>
      <w:r>
        <w:rPr>
          <w:rFonts w:ascii="Century Schoolbook" w:hAnsi="Century Schoolbook"/>
          <w:u w:val="single"/>
        </w:rPr>
        <w:t>Concealed Carry</w:t>
      </w:r>
    </w:p>
    <w:p w14:paraId="134A9412" w14:textId="4EB2CBBF" w:rsidR="00500400" w:rsidRDefault="00FF71C7" w:rsidP="00FF71C7">
      <w:pPr>
        <w:spacing w:after="0" w:line="480" w:lineRule="auto"/>
        <w:ind w:firstLine="720"/>
        <w:rPr>
          <w:rFonts w:ascii="Century Schoolbook" w:hAnsi="Century Schoolbook"/>
        </w:rPr>
      </w:pPr>
      <w:r>
        <w:rPr>
          <w:rFonts w:ascii="Century Schoolbook" w:hAnsi="Century Schoolbook"/>
        </w:rPr>
        <w:t xml:space="preserve">The </w:t>
      </w:r>
      <w:r w:rsidR="0053029C">
        <w:rPr>
          <w:rFonts w:ascii="Century Schoolbook" w:hAnsi="Century Schoolbook"/>
        </w:rPr>
        <w:t xml:space="preserve">United States Supreme Court said </w:t>
      </w:r>
      <w:r w:rsidR="00C839B5">
        <w:rPr>
          <w:rFonts w:ascii="Century Schoolbook" w:hAnsi="Century Schoolbook"/>
        </w:rPr>
        <w:t xml:space="preserve">in </w:t>
      </w:r>
      <w:r w:rsidR="00C839B5">
        <w:rPr>
          <w:rFonts w:ascii="Century Schoolbook" w:hAnsi="Century Schoolbook"/>
          <w:i/>
          <w:iCs/>
        </w:rPr>
        <w:t>Bruen</w:t>
      </w:r>
      <w:r w:rsidR="00C839B5">
        <w:rPr>
          <w:rFonts w:ascii="Century Schoolbook" w:hAnsi="Century Schoolbook"/>
        </w:rPr>
        <w:t xml:space="preserve"> that the Second and Fourteenth Amendments protect an individual’s right to carry a handgun for self-defense outside the home, </w:t>
      </w:r>
      <w:r>
        <w:rPr>
          <w:rFonts w:ascii="Century Schoolbook" w:hAnsi="Century Schoolbook"/>
        </w:rPr>
        <w:t xml:space="preserve">yet there has not yet been any specific guidance from the </w:t>
      </w:r>
      <w:r>
        <w:rPr>
          <w:rFonts w:ascii="Century Schoolbook" w:hAnsi="Century Schoolbook"/>
        </w:rPr>
        <w:lastRenderedPageBreak/>
        <w:t xml:space="preserve">court on the issue of concealed carry. </w:t>
      </w:r>
      <w:r w:rsidR="00807CBD">
        <w:rPr>
          <w:rFonts w:ascii="Century Schoolbook" w:hAnsi="Century Schoolbook"/>
        </w:rPr>
        <w:t>Furthermore, i</w:t>
      </w:r>
      <w:r w:rsidR="005007ED">
        <w:rPr>
          <w:rFonts w:ascii="Century Schoolbook" w:hAnsi="Century Schoolbook"/>
        </w:rPr>
        <w:t xml:space="preserve">n </w:t>
      </w:r>
      <w:r w:rsidR="005007ED">
        <w:rPr>
          <w:rFonts w:ascii="Century Schoolbook" w:hAnsi="Century Schoolbook"/>
          <w:i/>
          <w:iCs/>
        </w:rPr>
        <w:t>Heller</w:t>
      </w:r>
      <w:r w:rsidR="005007ED">
        <w:rPr>
          <w:rFonts w:ascii="Century Schoolbook" w:hAnsi="Century Schoolbook"/>
        </w:rPr>
        <w:t>, the</w:t>
      </w:r>
      <w:r w:rsidR="00807CBD">
        <w:rPr>
          <w:rFonts w:ascii="Century Schoolbook" w:hAnsi="Century Schoolbook"/>
        </w:rPr>
        <w:t xml:space="preserve"> court </w:t>
      </w:r>
      <w:r w:rsidR="00263523">
        <w:rPr>
          <w:rFonts w:ascii="Century Schoolbook" w:hAnsi="Century Schoolbook"/>
        </w:rPr>
        <w:t>noted that “</w:t>
      </w:r>
      <w:r w:rsidR="00263523" w:rsidRPr="00263523">
        <w:rPr>
          <w:rFonts w:ascii="Century Schoolbook" w:hAnsi="Century Schoolbook"/>
        </w:rPr>
        <w:t>At the time of the founding, as now, to ‘bear’ meant to ‘carry.’ … When used with ‘arms,’ however, the term has a meaning that refers to carrying for a particular purpose—confrontation.</w:t>
      </w:r>
      <w:r w:rsidR="00263523">
        <w:rPr>
          <w:rFonts w:ascii="Century Schoolbook" w:hAnsi="Century Schoolbook"/>
        </w:rPr>
        <w:t xml:space="preserve">” </w:t>
      </w:r>
      <w:r w:rsidR="00263523" w:rsidRPr="00263523">
        <w:rPr>
          <w:rFonts w:ascii="Century Schoolbook" w:hAnsi="Century Schoolbook"/>
        </w:rPr>
        <w:t>D</w:t>
      </w:r>
      <w:r w:rsidR="00263523">
        <w:rPr>
          <w:rFonts w:ascii="Century Schoolbook" w:hAnsi="Century Schoolbook"/>
        </w:rPr>
        <w:t>.</w:t>
      </w:r>
      <w:r w:rsidR="00263523" w:rsidRPr="00263523">
        <w:rPr>
          <w:rFonts w:ascii="Century Schoolbook" w:hAnsi="Century Schoolbook"/>
        </w:rPr>
        <w:t>C</w:t>
      </w:r>
      <w:r w:rsidR="00263523">
        <w:rPr>
          <w:rFonts w:ascii="Century Schoolbook" w:hAnsi="Century Schoolbook"/>
        </w:rPr>
        <w:t>.</w:t>
      </w:r>
      <w:r w:rsidR="00263523" w:rsidRPr="00263523">
        <w:rPr>
          <w:rFonts w:ascii="Century Schoolbook" w:hAnsi="Century Schoolbook"/>
        </w:rPr>
        <w:t xml:space="preserve"> v. Heller, 554 U.S. 570, 584, (2008).</w:t>
      </w:r>
      <w:r w:rsidR="00805FF4">
        <w:rPr>
          <w:rFonts w:ascii="Century Schoolbook" w:hAnsi="Century Schoolbook"/>
        </w:rPr>
        <w:t xml:space="preserve"> However, the court went on</w:t>
      </w:r>
      <w:r w:rsidR="0090061C">
        <w:rPr>
          <w:rFonts w:ascii="Century Schoolbook" w:hAnsi="Century Schoolbook"/>
        </w:rPr>
        <w:t xml:space="preserve">, in dicta, to </w:t>
      </w:r>
      <w:r w:rsidR="00AD0581">
        <w:rPr>
          <w:rFonts w:ascii="Century Schoolbook" w:hAnsi="Century Schoolbook"/>
        </w:rPr>
        <w:t>state that:</w:t>
      </w:r>
    </w:p>
    <w:p w14:paraId="2CE218C1" w14:textId="0596C5CA" w:rsidR="00AD0581" w:rsidRDefault="00AD0581" w:rsidP="00AD0581">
      <w:pPr>
        <w:spacing w:after="0" w:line="240" w:lineRule="auto"/>
        <w:ind w:left="360" w:right="360" w:firstLine="720"/>
        <w:rPr>
          <w:rFonts w:ascii="Century Schoolbook" w:hAnsi="Century Schoolbook"/>
        </w:rPr>
      </w:pPr>
      <w:r w:rsidRPr="00AD0581">
        <w:rPr>
          <w:rFonts w:ascii="Century Schoolbook" w:hAnsi="Century Schoolbook"/>
        </w:rPr>
        <w:t>From Blackstone through the 19th-century cases, commentators and courts routinely explained that the right was not a right to keep and carry any weapon whatsoever in any manner whatsoever and for whatever purpose…. . For example, the majority of the 19th-century courts to consider the question held that prohibitions on carrying concealed weapons were lawful under the Second Amendment or state analogues.</w:t>
      </w:r>
    </w:p>
    <w:p w14:paraId="3EB0B18B" w14:textId="77777777" w:rsidR="0051291D" w:rsidRDefault="0051291D" w:rsidP="0051291D">
      <w:pPr>
        <w:spacing w:after="0" w:line="240" w:lineRule="auto"/>
        <w:rPr>
          <w:rFonts w:ascii="Century Schoolbook" w:hAnsi="Century Schoolbook"/>
          <w:i/>
          <w:iCs/>
        </w:rPr>
      </w:pPr>
    </w:p>
    <w:p w14:paraId="497C05A2" w14:textId="7031B9C5" w:rsidR="00AD0581" w:rsidRDefault="00AB5068" w:rsidP="00993EB0">
      <w:pPr>
        <w:spacing w:after="0" w:line="480" w:lineRule="auto"/>
        <w:rPr>
          <w:rFonts w:ascii="Century Schoolbook" w:hAnsi="Century Schoolbook"/>
        </w:rPr>
      </w:pPr>
      <w:r w:rsidRPr="00AB5068">
        <w:rPr>
          <w:rFonts w:ascii="Century Schoolbook" w:hAnsi="Century Schoolbook"/>
          <w:i/>
          <w:iCs/>
        </w:rPr>
        <w:t>Id</w:t>
      </w:r>
      <w:r>
        <w:rPr>
          <w:rFonts w:ascii="Century Schoolbook" w:hAnsi="Century Schoolbook"/>
        </w:rPr>
        <w:t>. at</w:t>
      </w:r>
      <w:r w:rsidRPr="00AB5068">
        <w:rPr>
          <w:rFonts w:ascii="Century Schoolbook" w:hAnsi="Century Schoolbook"/>
        </w:rPr>
        <w:t xml:space="preserve"> 626.</w:t>
      </w:r>
    </w:p>
    <w:p w14:paraId="0A64D67E" w14:textId="0973D938" w:rsidR="00AB5068" w:rsidRDefault="0067377A" w:rsidP="00993EB0">
      <w:pPr>
        <w:spacing w:after="0" w:line="480" w:lineRule="auto"/>
        <w:rPr>
          <w:rFonts w:ascii="Century Schoolbook" w:hAnsi="Century Schoolbook"/>
        </w:rPr>
      </w:pPr>
      <w:r>
        <w:rPr>
          <w:rFonts w:ascii="Century Schoolbook" w:hAnsi="Century Schoolbook"/>
        </w:rPr>
        <w:tab/>
        <w:t xml:space="preserve">Until such time as SCOTUS decides to expound </w:t>
      </w:r>
      <w:r w:rsidR="00FE5242">
        <w:rPr>
          <w:rFonts w:ascii="Century Schoolbook" w:hAnsi="Century Schoolbook"/>
        </w:rPr>
        <w:t>further, i</w:t>
      </w:r>
      <w:r w:rsidR="00996FDD">
        <w:rPr>
          <w:rFonts w:ascii="Century Schoolbook" w:hAnsi="Century Schoolbook"/>
        </w:rPr>
        <w:t xml:space="preserve">t remains unclear whether or not </w:t>
      </w:r>
      <w:r w:rsidR="00FE5242">
        <w:rPr>
          <w:rFonts w:ascii="Century Schoolbook" w:hAnsi="Century Schoolbook"/>
        </w:rPr>
        <w:t xml:space="preserve">concealed carry is an essential component of the right to keep and bear arms, or </w:t>
      </w:r>
      <w:r w:rsidR="008F0B9D">
        <w:rPr>
          <w:rFonts w:ascii="Century Schoolbook" w:hAnsi="Century Schoolbook"/>
        </w:rPr>
        <w:t xml:space="preserve">simply a privilege which can be regulated by the states. </w:t>
      </w:r>
      <w:r w:rsidR="00365ECB">
        <w:rPr>
          <w:rFonts w:ascii="Century Schoolbook" w:hAnsi="Century Schoolbook"/>
        </w:rPr>
        <w:t xml:space="preserve">To that end, </w:t>
      </w:r>
      <w:r w:rsidR="008B3AE2">
        <w:rPr>
          <w:rFonts w:ascii="Century Schoolbook" w:hAnsi="Century Schoolbook"/>
        </w:rPr>
        <w:t xml:space="preserve">it is important to note that North Carolina’s constitution specifically </w:t>
      </w:r>
      <w:r w:rsidR="00A42B36">
        <w:rPr>
          <w:rFonts w:ascii="Century Schoolbook" w:hAnsi="Century Schoolbook"/>
        </w:rPr>
        <w:t>permits the legislature to regulate concealed carry:</w:t>
      </w:r>
    </w:p>
    <w:p w14:paraId="1EC36202" w14:textId="006F5E82" w:rsidR="00A42B36" w:rsidRDefault="00717C65" w:rsidP="00717C65">
      <w:pPr>
        <w:spacing w:after="0" w:line="240" w:lineRule="auto"/>
        <w:ind w:left="360" w:right="360"/>
        <w:rPr>
          <w:rFonts w:ascii="Century Schoolbook" w:hAnsi="Century Schoolbook"/>
        </w:rPr>
      </w:pPr>
      <w:r w:rsidRPr="00717C65">
        <w:rPr>
          <w:rFonts w:ascii="Century Schoolbook" w:hAnsi="Century Schoolbook"/>
        </w:rPr>
        <w:t xml:space="preserve">A </w:t>
      </w:r>
      <w:proofErr w:type="spellStart"/>
      <w:r w:rsidRPr="00717C65">
        <w:rPr>
          <w:rFonts w:ascii="Century Schoolbook" w:hAnsi="Century Schoolbook"/>
        </w:rPr>
        <w:t>well regulated</w:t>
      </w:r>
      <w:proofErr w:type="spellEnd"/>
      <w:r w:rsidRPr="00717C65">
        <w:rPr>
          <w:rFonts w:ascii="Century Schoolbook" w:hAnsi="Century Schoolbook"/>
        </w:rPr>
        <w:t xml:space="preserve"> militia being necessary to the security of a free State, the right of the people to keep and bear arms shall not be infringed; and, as standing armies in time of peace are dangerous to liberty, they shall not be maintained, and the military shall be kept under strict subordination to, and governed by, the civil power. Nothing herein shall justify the practice of carrying concealed weapons, or prevent the General Assembly from enacting penal statutes against that practice.</w:t>
      </w:r>
    </w:p>
    <w:p w14:paraId="07A305FF" w14:textId="77777777" w:rsidR="00AB5068" w:rsidRDefault="00AB5068" w:rsidP="0051291D">
      <w:pPr>
        <w:spacing w:after="0" w:line="240" w:lineRule="auto"/>
        <w:rPr>
          <w:rFonts w:ascii="Century Schoolbook" w:hAnsi="Century Schoolbook"/>
        </w:rPr>
      </w:pPr>
    </w:p>
    <w:p w14:paraId="68A8EBBD" w14:textId="0C734D45" w:rsidR="00717C65" w:rsidRDefault="00917C0E" w:rsidP="00993EB0">
      <w:pPr>
        <w:spacing w:after="0" w:line="480" w:lineRule="auto"/>
        <w:rPr>
          <w:rFonts w:ascii="Century Schoolbook" w:hAnsi="Century Schoolbook"/>
        </w:rPr>
      </w:pPr>
      <w:r>
        <w:rPr>
          <w:rFonts w:ascii="Century Schoolbook" w:hAnsi="Century Schoolbook"/>
        </w:rPr>
        <w:t xml:space="preserve">G.S. </w:t>
      </w:r>
      <w:r w:rsidRPr="00917C0E">
        <w:rPr>
          <w:rFonts w:ascii="Century Schoolbook" w:hAnsi="Century Schoolbook"/>
        </w:rPr>
        <w:t>Art. I, § 30</w:t>
      </w:r>
      <w:r>
        <w:rPr>
          <w:rFonts w:ascii="Century Schoolbook" w:hAnsi="Century Schoolbook"/>
        </w:rPr>
        <w:t>.</w:t>
      </w:r>
    </w:p>
    <w:p w14:paraId="40617197" w14:textId="728B0E96" w:rsidR="00237A42" w:rsidRDefault="00917C0E" w:rsidP="00993EB0">
      <w:pPr>
        <w:spacing w:after="0" w:line="480" w:lineRule="auto"/>
        <w:rPr>
          <w:rFonts w:ascii="Century Schoolbook" w:hAnsi="Century Schoolbook"/>
        </w:rPr>
      </w:pPr>
      <w:r>
        <w:rPr>
          <w:rFonts w:ascii="Century Schoolbook" w:hAnsi="Century Schoolbook"/>
        </w:rPr>
        <w:tab/>
      </w:r>
      <w:r w:rsidR="00953FE9">
        <w:rPr>
          <w:rFonts w:ascii="Century Schoolbook" w:hAnsi="Century Schoolbook"/>
        </w:rPr>
        <w:t xml:space="preserve">The North Carolina Constitution was originally adopted in </w:t>
      </w:r>
      <w:r w:rsidR="00704975">
        <w:rPr>
          <w:rFonts w:ascii="Century Schoolbook" w:hAnsi="Century Schoolbook"/>
        </w:rPr>
        <w:t xml:space="preserve">1776 </w:t>
      </w:r>
      <w:r w:rsidR="00943806">
        <w:rPr>
          <w:rFonts w:ascii="Century Schoolbook" w:hAnsi="Century Schoolbook"/>
        </w:rPr>
        <w:t xml:space="preserve">(one year after the Mecklenburg Declaration of Independence in </w:t>
      </w:r>
      <w:r w:rsidR="001C3798">
        <w:rPr>
          <w:rFonts w:ascii="Century Schoolbook" w:hAnsi="Century Schoolbook"/>
        </w:rPr>
        <w:t>1775</w:t>
      </w:r>
      <w:r w:rsidR="00E74FA3">
        <w:rPr>
          <w:rFonts w:ascii="Century Schoolbook" w:hAnsi="Century Schoolbook"/>
        </w:rPr>
        <w:t>) and</w:t>
      </w:r>
      <w:r w:rsidR="00CF0B0F">
        <w:rPr>
          <w:rFonts w:ascii="Century Schoolbook" w:hAnsi="Century Schoolbook"/>
        </w:rPr>
        <w:t xml:space="preserve"> framed in accordance with Reconstruction Acts in 1868 after North Carolina was </w:t>
      </w:r>
      <w:r w:rsidR="00880ED2">
        <w:rPr>
          <w:rFonts w:ascii="Century Schoolbook" w:hAnsi="Century Schoolbook"/>
        </w:rPr>
        <w:t xml:space="preserve">readmitted </w:t>
      </w:r>
      <w:r w:rsidR="00880ED2">
        <w:rPr>
          <w:rFonts w:ascii="Century Schoolbook" w:hAnsi="Century Schoolbook"/>
        </w:rPr>
        <w:lastRenderedPageBreak/>
        <w:t>to the Union. It was not until 1971</w:t>
      </w:r>
      <w:r w:rsidR="00403BBC">
        <w:rPr>
          <w:rFonts w:ascii="Century Schoolbook" w:hAnsi="Century Schoolbook"/>
        </w:rPr>
        <w:t xml:space="preserve"> that the North Carolina Constitution was amended to include </w:t>
      </w:r>
      <w:r w:rsidR="00DE0D5C">
        <w:rPr>
          <w:rFonts w:ascii="Century Schoolbook" w:hAnsi="Century Schoolbook"/>
        </w:rPr>
        <w:t>language regulating concealed carry. It remains to be seen if</w:t>
      </w:r>
      <w:r w:rsidR="00636EFE">
        <w:rPr>
          <w:rFonts w:ascii="Century Schoolbook" w:hAnsi="Century Schoolbook"/>
        </w:rPr>
        <w:t xml:space="preserve"> Article I, Section 30 satisfies </w:t>
      </w:r>
      <w:r w:rsidR="00237A42">
        <w:rPr>
          <w:rFonts w:ascii="Century Schoolbook" w:hAnsi="Century Schoolbook"/>
          <w:i/>
          <w:iCs/>
        </w:rPr>
        <w:t>Bruen’s</w:t>
      </w:r>
      <w:r w:rsidR="00237A42">
        <w:rPr>
          <w:rFonts w:ascii="Century Schoolbook" w:hAnsi="Century Schoolbook"/>
        </w:rPr>
        <w:t xml:space="preserve"> history and tradition test. </w:t>
      </w:r>
    </w:p>
    <w:p w14:paraId="1B622A71" w14:textId="4829ECAE" w:rsidR="00237A42" w:rsidRDefault="00237A42" w:rsidP="00993EB0">
      <w:pPr>
        <w:spacing w:after="0" w:line="480" w:lineRule="auto"/>
        <w:rPr>
          <w:rFonts w:ascii="Century Schoolbook" w:hAnsi="Century Schoolbook"/>
        </w:rPr>
      </w:pPr>
      <w:r>
        <w:rPr>
          <w:rFonts w:ascii="Century Schoolbook" w:hAnsi="Century Schoolbook"/>
        </w:rPr>
        <w:tab/>
      </w:r>
      <w:r w:rsidR="00CE668F">
        <w:rPr>
          <w:rFonts w:ascii="Century Schoolbook" w:hAnsi="Century Schoolbook"/>
        </w:rPr>
        <w:t xml:space="preserve">Recently, there has been a push to enact so-called “constitutional carry” in North Carolina. </w:t>
      </w:r>
      <w:r w:rsidR="002C364E">
        <w:rPr>
          <w:rFonts w:ascii="Century Schoolbook" w:hAnsi="Century Schoolbook"/>
        </w:rPr>
        <w:t xml:space="preserve">Proponents </w:t>
      </w:r>
      <w:r w:rsidR="002279B2">
        <w:rPr>
          <w:rFonts w:ascii="Century Schoolbook" w:hAnsi="Century Schoolbook"/>
        </w:rPr>
        <w:t xml:space="preserve">argue that </w:t>
      </w:r>
      <w:r w:rsidR="00AC12CC">
        <w:rPr>
          <w:rFonts w:ascii="Century Schoolbook" w:hAnsi="Century Schoolbook"/>
        </w:rPr>
        <w:t xml:space="preserve">concealed carry is an essential component of the right to keep and bear arms, and that </w:t>
      </w:r>
      <w:r w:rsidR="001B461A">
        <w:rPr>
          <w:rFonts w:ascii="Century Schoolbook" w:hAnsi="Century Schoolbook"/>
        </w:rPr>
        <w:t xml:space="preserve">any regulations which prohibit it infringe on the Second Amendment right. </w:t>
      </w:r>
      <w:r w:rsidR="00756699">
        <w:rPr>
          <w:rFonts w:ascii="Century Schoolbook" w:hAnsi="Century Schoolbook"/>
        </w:rPr>
        <w:t>Senate Bill</w:t>
      </w:r>
      <w:r w:rsidR="0012686D">
        <w:rPr>
          <w:rFonts w:ascii="Century Schoolbook" w:hAnsi="Century Schoolbook"/>
        </w:rPr>
        <w:t xml:space="preserve"> 50, </w:t>
      </w:r>
      <w:r w:rsidR="00744570">
        <w:rPr>
          <w:rFonts w:ascii="Century Schoolbook" w:hAnsi="Century Schoolbook"/>
        </w:rPr>
        <w:t xml:space="preserve">“Freedom to Carry NC,” was filed in February 2025, and would allow </w:t>
      </w:r>
      <w:proofErr w:type="spellStart"/>
      <w:r w:rsidR="00ED6C65">
        <w:rPr>
          <w:rFonts w:ascii="Century Schoolbook" w:hAnsi="Century Schoolbook"/>
        </w:rPr>
        <w:t>permitless</w:t>
      </w:r>
      <w:proofErr w:type="spellEnd"/>
      <w:r w:rsidR="00744570">
        <w:rPr>
          <w:rFonts w:ascii="Century Schoolbook" w:hAnsi="Century Schoolbook"/>
        </w:rPr>
        <w:t xml:space="preserve"> </w:t>
      </w:r>
      <w:r w:rsidR="00ED6C65">
        <w:rPr>
          <w:rFonts w:ascii="Century Schoolbook" w:hAnsi="Century Schoolbook"/>
        </w:rPr>
        <w:t>concealed carry for all individuals 18 and older. After passing both chambers</w:t>
      </w:r>
      <w:r w:rsidR="0025496F">
        <w:rPr>
          <w:rFonts w:ascii="Century Schoolbook" w:hAnsi="Century Schoolbook"/>
        </w:rPr>
        <w:t xml:space="preserve">, the bill was vetoed by Governor Stein. An override vote was attempted on </w:t>
      </w:r>
      <w:r w:rsidR="00D30D91">
        <w:rPr>
          <w:rFonts w:ascii="Century Schoolbook" w:hAnsi="Century Schoolbook"/>
        </w:rPr>
        <w:t xml:space="preserve">July 29, 2025, but it ultimately failed. </w:t>
      </w:r>
      <w:r w:rsidR="001302F4">
        <w:rPr>
          <w:rFonts w:ascii="Century Schoolbook" w:hAnsi="Century Schoolbook"/>
        </w:rPr>
        <w:t>The bill remains on the calendar for the 2025-2026 session.</w:t>
      </w:r>
      <w:r w:rsidR="00117111">
        <w:rPr>
          <w:rFonts w:ascii="Century Schoolbook" w:hAnsi="Century Schoolbook"/>
        </w:rPr>
        <w:t xml:space="preserve"> Until such time as the Governor’s veto is overridden, </w:t>
      </w:r>
      <w:r w:rsidR="00F21DA3">
        <w:rPr>
          <w:rFonts w:ascii="Century Schoolbook" w:hAnsi="Century Schoolbook"/>
        </w:rPr>
        <w:t>individuals who wish to carry concealed in North Carolina require a permit to do so.</w:t>
      </w:r>
    </w:p>
    <w:p w14:paraId="5718DB61" w14:textId="2CF1D8E2" w:rsidR="00F21DA3" w:rsidRDefault="00F21DA3" w:rsidP="00993EB0">
      <w:pPr>
        <w:spacing w:after="0" w:line="480" w:lineRule="auto"/>
        <w:rPr>
          <w:rFonts w:ascii="Century Schoolbook" w:hAnsi="Century Schoolbook"/>
        </w:rPr>
      </w:pPr>
      <w:r>
        <w:rPr>
          <w:rFonts w:ascii="Century Schoolbook" w:hAnsi="Century Schoolbook"/>
        </w:rPr>
        <w:tab/>
      </w:r>
      <w:r w:rsidR="00FC12DA">
        <w:rPr>
          <w:rFonts w:ascii="Century Schoolbook" w:hAnsi="Century Schoolbook"/>
        </w:rPr>
        <w:t xml:space="preserve">Concealed carry in North Carolina is regulated under G.S. </w:t>
      </w:r>
      <w:r w:rsidR="006B5023">
        <w:rPr>
          <w:rFonts w:ascii="Century Schoolbook" w:hAnsi="Century Schoolbook"/>
        </w:rPr>
        <w:t>14-269 and</w:t>
      </w:r>
      <w:r w:rsidR="004111DB">
        <w:rPr>
          <w:rFonts w:ascii="Century Schoolbook" w:hAnsi="Century Schoolbook"/>
        </w:rPr>
        <w:t xml:space="preserve"> prohibits an individual from carrying a concealed weapon </w:t>
      </w:r>
      <w:r w:rsidR="000E1E33">
        <w:rPr>
          <w:rFonts w:ascii="Century Schoolbook" w:hAnsi="Century Schoolbook"/>
        </w:rPr>
        <w:t xml:space="preserve">outside of their own home unless they have a concealed carry permit (CCP). </w:t>
      </w:r>
      <w:r w:rsidR="00EB252B" w:rsidRPr="00EB252B">
        <w:rPr>
          <w:rFonts w:ascii="Century Schoolbook" w:hAnsi="Century Schoolbook"/>
        </w:rPr>
        <w:t xml:space="preserve">The purpose of the statute governing the offense of carrying a concealed weapon is to reduce the </w:t>
      </w:r>
      <w:r w:rsidR="00E74FA3" w:rsidRPr="00EB252B">
        <w:rPr>
          <w:rFonts w:ascii="Century Schoolbook" w:hAnsi="Century Schoolbook"/>
        </w:rPr>
        <w:t>likelihood that</w:t>
      </w:r>
      <w:r w:rsidR="00EB252B" w:rsidRPr="00EB252B">
        <w:rPr>
          <w:rFonts w:ascii="Century Schoolbook" w:hAnsi="Century Schoolbook"/>
        </w:rPr>
        <w:t xml:space="preserve"> a concealed weapon may be resorted to in a fit of anger.</w:t>
      </w:r>
      <w:r w:rsidR="00EB252B">
        <w:rPr>
          <w:rFonts w:ascii="Century Schoolbook" w:hAnsi="Century Schoolbook"/>
        </w:rPr>
        <w:t xml:space="preserve"> </w:t>
      </w:r>
      <w:r w:rsidR="00EB252B" w:rsidRPr="00EB252B">
        <w:rPr>
          <w:rFonts w:ascii="Century Schoolbook" w:hAnsi="Century Schoolbook"/>
          <w:i/>
          <w:iCs/>
        </w:rPr>
        <w:t>State v. Hill</w:t>
      </w:r>
      <w:r w:rsidR="00EB252B" w:rsidRPr="00EB252B">
        <w:rPr>
          <w:rFonts w:ascii="Century Schoolbook" w:hAnsi="Century Schoolbook"/>
        </w:rPr>
        <w:t xml:space="preserve">, 227 </w:t>
      </w:r>
      <w:proofErr w:type="spellStart"/>
      <w:r w:rsidR="00EB252B" w:rsidRPr="00EB252B">
        <w:rPr>
          <w:rFonts w:ascii="Century Schoolbook" w:hAnsi="Century Schoolbook"/>
        </w:rPr>
        <w:t>N.C.App</w:t>
      </w:r>
      <w:proofErr w:type="spellEnd"/>
      <w:r w:rsidR="00EB252B" w:rsidRPr="00EB252B">
        <w:rPr>
          <w:rFonts w:ascii="Century Schoolbook" w:hAnsi="Century Schoolbook"/>
        </w:rPr>
        <w:t xml:space="preserve">. 371 (2013). The essential elements of carrying a concealed weapon are: (1) the accused must be off his own premises; (2) he must carry a deadly weapon; and (3) the weapon must be concealed about his person. </w:t>
      </w:r>
      <w:r w:rsidR="00EB252B" w:rsidRPr="00EB252B">
        <w:rPr>
          <w:rFonts w:ascii="Century Schoolbook" w:hAnsi="Century Schoolbook"/>
          <w:i/>
          <w:iCs/>
        </w:rPr>
        <w:t>Hill</w:t>
      </w:r>
      <w:r w:rsidR="00EB252B" w:rsidRPr="00EB252B">
        <w:rPr>
          <w:rFonts w:ascii="Century Schoolbook" w:hAnsi="Century Schoolbook"/>
        </w:rPr>
        <w:t xml:space="preserve"> at 371. In order to prove that a defendant carried a concealed weapon, the State must prove that the weapon is </w:t>
      </w:r>
      <w:r w:rsidR="00EB252B" w:rsidRPr="00EB252B">
        <w:rPr>
          <w:rFonts w:ascii="Century Schoolbook" w:hAnsi="Century Schoolbook"/>
        </w:rPr>
        <w:lastRenderedPageBreak/>
        <w:t>concealed not necessarily on the person of the accused, but in such position as gives him ready access to it.</w:t>
      </w:r>
      <w:r w:rsidR="00EB252B">
        <w:rPr>
          <w:rFonts w:ascii="Century Schoolbook" w:hAnsi="Century Schoolbook"/>
        </w:rPr>
        <w:t xml:space="preserve"> </w:t>
      </w:r>
      <w:r w:rsidR="00EB252B" w:rsidRPr="00EB252B">
        <w:rPr>
          <w:rFonts w:ascii="Century Schoolbook" w:hAnsi="Century Schoolbook"/>
          <w:i/>
          <w:iCs/>
        </w:rPr>
        <w:t>State v. Best</w:t>
      </w:r>
      <w:r w:rsidR="00EB252B" w:rsidRPr="00EB252B">
        <w:rPr>
          <w:rFonts w:ascii="Century Schoolbook" w:hAnsi="Century Schoolbook"/>
        </w:rPr>
        <w:t xml:space="preserve">, 214 </w:t>
      </w:r>
      <w:proofErr w:type="spellStart"/>
      <w:r w:rsidR="00EB252B" w:rsidRPr="00EB252B">
        <w:rPr>
          <w:rFonts w:ascii="Century Schoolbook" w:hAnsi="Century Schoolbook"/>
        </w:rPr>
        <w:t>N.C.App</w:t>
      </w:r>
      <w:proofErr w:type="spellEnd"/>
      <w:r w:rsidR="00EB252B" w:rsidRPr="00EB252B">
        <w:rPr>
          <w:rFonts w:ascii="Century Schoolbook" w:hAnsi="Century Schoolbook"/>
        </w:rPr>
        <w:t>. 39 (2011). Evidence of ownership or use is irrelevant to the charge of carrying a concealed weapon.</w:t>
      </w:r>
      <w:r w:rsidR="00EB252B">
        <w:rPr>
          <w:rFonts w:ascii="Century Schoolbook" w:hAnsi="Century Schoolbook"/>
        </w:rPr>
        <w:t xml:space="preserve"> </w:t>
      </w:r>
      <w:r w:rsidR="00EB252B" w:rsidRPr="00EB252B">
        <w:rPr>
          <w:rFonts w:ascii="Century Schoolbook" w:hAnsi="Century Schoolbook"/>
          <w:i/>
          <w:iCs/>
        </w:rPr>
        <w:t>State v. Mbacke</w:t>
      </w:r>
      <w:r w:rsidR="00EB252B" w:rsidRPr="00EB252B">
        <w:rPr>
          <w:rFonts w:ascii="Century Schoolbook" w:hAnsi="Century Schoolbook"/>
        </w:rPr>
        <w:t xml:space="preserve">, 209 </w:t>
      </w:r>
      <w:proofErr w:type="spellStart"/>
      <w:r w:rsidR="00EB252B" w:rsidRPr="00EB252B">
        <w:rPr>
          <w:rFonts w:ascii="Century Schoolbook" w:hAnsi="Century Schoolbook"/>
        </w:rPr>
        <w:t>N.C.App</w:t>
      </w:r>
      <w:proofErr w:type="spellEnd"/>
      <w:r w:rsidR="00EB252B" w:rsidRPr="00EB252B">
        <w:rPr>
          <w:rFonts w:ascii="Century Schoolbook" w:hAnsi="Century Schoolbook"/>
        </w:rPr>
        <w:t>. 35 (2011). In order to convict an individual of carrying a concealed weapon, there must be evidence that the weapon was within the reach and control of the person charged.</w:t>
      </w:r>
      <w:r w:rsidR="00EB252B">
        <w:rPr>
          <w:rFonts w:ascii="Century Schoolbook" w:hAnsi="Century Schoolbook"/>
        </w:rPr>
        <w:t xml:space="preserve"> </w:t>
      </w:r>
      <w:r w:rsidR="00EB252B" w:rsidRPr="00EB252B">
        <w:rPr>
          <w:rFonts w:ascii="Century Schoolbook" w:hAnsi="Century Schoolbook"/>
          <w:i/>
          <w:iCs/>
        </w:rPr>
        <w:t>State v. Soles</w:t>
      </w:r>
      <w:r w:rsidR="00EB252B" w:rsidRPr="00EB252B">
        <w:rPr>
          <w:rFonts w:ascii="Century Schoolbook" w:hAnsi="Century Schoolbook"/>
        </w:rPr>
        <w:t xml:space="preserve">, 191 </w:t>
      </w:r>
      <w:proofErr w:type="spellStart"/>
      <w:r w:rsidR="00EB252B" w:rsidRPr="00EB252B">
        <w:rPr>
          <w:rFonts w:ascii="Century Schoolbook" w:hAnsi="Century Schoolbook"/>
        </w:rPr>
        <w:t>N.C.App</w:t>
      </w:r>
      <w:proofErr w:type="spellEnd"/>
      <w:r w:rsidR="00EB252B" w:rsidRPr="00EB252B">
        <w:rPr>
          <w:rFonts w:ascii="Century Schoolbook" w:hAnsi="Century Schoolbook"/>
        </w:rPr>
        <w:t>. 241 (2008). While a weapon carried by a defendant must be concealed in order to support a conviction for carrying a concealed weapon, the weapon need not necessarily be concealed on the person of the accused, but in such position as gives him ready access to it, that is, concealed near, in close proximity to him, and within his convenient control and easy reach, so that he could promptly use it, if prompted to do so by any violent motive.</w:t>
      </w:r>
      <w:r w:rsidR="00EB252B">
        <w:rPr>
          <w:rFonts w:ascii="Century Schoolbook" w:hAnsi="Century Schoolbook"/>
        </w:rPr>
        <w:t xml:space="preserve"> </w:t>
      </w:r>
      <w:r w:rsidR="00EB252B" w:rsidRPr="00EB252B">
        <w:rPr>
          <w:rFonts w:ascii="Century Schoolbook" w:hAnsi="Century Schoolbook"/>
          <w:i/>
          <w:iCs/>
        </w:rPr>
        <w:t>State v. Hill</w:t>
      </w:r>
      <w:r w:rsidR="00EB252B" w:rsidRPr="00EB252B">
        <w:rPr>
          <w:rFonts w:ascii="Century Schoolbook" w:hAnsi="Century Schoolbook"/>
        </w:rPr>
        <w:t xml:space="preserve">, 227 </w:t>
      </w:r>
      <w:proofErr w:type="spellStart"/>
      <w:r w:rsidR="00EB252B" w:rsidRPr="00EB252B">
        <w:rPr>
          <w:rFonts w:ascii="Century Schoolbook" w:hAnsi="Century Schoolbook"/>
        </w:rPr>
        <w:t>N.C.App</w:t>
      </w:r>
      <w:proofErr w:type="spellEnd"/>
      <w:r w:rsidR="00EB252B" w:rsidRPr="00EB252B">
        <w:rPr>
          <w:rFonts w:ascii="Century Schoolbook" w:hAnsi="Century Schoolbook"/>
        </w:rPr>
        <w:t xml:space="preserve">. 371 (2013). But, see </w:t>
      </w:r>
      <w:r w:rsidR="00EB252B" w:rsidRPr="00FB1F62">
        <w:rPr>
          <w:rFonts w:ascii="Century Schoolbook" w:hAnsi="Century Schoolbook"/>
          <w:i/>
          <w:iCs/>
        </w:rPr>
        <w:t>State v. Gainey</w:t>
      </w:r>
      <w:r w:rsidR="00EB252B" w:rsidRPr="00EB252B">
        <w:rPr>
          <w:rFonts w:ascii="Century Schoolbook" w:hAnsi="Century Schoolbook"/>
        </w:rPr>
        <w:t>, 273 N.C. 620 (1968) (A rifle under back seat of automobile was not “concealed about” defendant who was driving automobile within meaning of concealed weapons statute.)</w:t>
      </w:r>
    </w:p>
    <w:p w14:paraId="086D99E0" w14:textId="6D1E15AB" w:rsidR="00FB1F62" w:rsidRDefault="00FB1F62" w:rsidP="00993EB0">
      <w:pPr>
        <w:spacing w:after="0" w:line="480" w:lineRule="auto"/>
        <w:rPr>
          <w:rFonts w:ascii="Century Schoolbook" w:hAnsi="Century Schoolbook"/>
        </w:rPr>
      </w:pPr>
      <w:r>
        <w:rPr>
          <w:rFonts w:ascii="Century Schoolbook" w:hAnsi="Century Schoolbook"/>
        </w:rPr>
        <w:tab/>
      </w:r>
      <w:r w:rsidR="002646E6">
        <w:rPr>
          <w:rFonts w:ascii="Century Schoolbook" w:hAnsi="Century Schoolbook"/>
        </w:rPr>
        <w:t xml:space="preserve">North Carolina is a “shall issue” state, which means that the Sheriff must issue a permit to an applicant so long as they are not disqualified. The </w:t>
      </w:r>
      <w:r w:rsidR="00476CB7">
        <w:rPr>
          <w:rFonts w:ascii="Century Schoolbook" w:hAnsi="Century Schoolbook"/>
        </w:rPr>
        <w:t>list of disqualifiers is codified in G.S. 14-415</w:t>
      </w:r>
      <w:r w:rsidR="00D86557">
        <w:rPr>
          <w:rFonts w:ascii="Century Schoolbook" w:hAnsi="Century Schoolbook"/>
        </w:rPr>
        <w:t xml:space="preserve">.12(b), and closely tracks the </w:t>
      </w:r>
      <w:r w:rsidR="00B20303">
        <w:rPr>
          <w:rFonts w:ascii="Century Schoolbook" w:hAnsi="Century Schoolbook"/>
        </w:rPr>
        <w:t xml:space="preserve">categories of prohibited persons </w:t>
      </w:r>
      <w:r w:rsidR="0060172A">
        <w:rPr>
          <w:rFonts w:ascii="Century Schoolbook" w:hAnsi="Century Schoolbook"/>
        </w:rPr>
        <w:t xml:space="preserve">under </w:t>
      </w:r>
      <w:r w:rsidR="0060172A" w:rsidRPr="0060172A">
        <w:rPr>
          <w:rFonts w:ascii="Century Schoolbook" w:hAnsi="Century Schoolbook"/>
        </w:rPr>
        <w:t>18 U.S.C. §922(g)</w:t>
      </w:r>
      <w:r w:rsidR="0060172A">
        <w:rPr>
          <w:rFonts w:ascii="Century Schoolbook" w:hAnsi="Century Schoolbook"/>
        </w:rPr>
        <w:t xml:space="preserve"> with some notable exceptions:</w:t>
      </w:r>
    </w:p>
    <w:p w14:paraId="265E4436" w14:textId="1E64F76B" w:rsidR="0060172A" w:rsidRDefault="0060172A" w:rsidP="006A39BF">
      <w:pPr>
        <w:pStyle w:val="ListParagraph"/>
        <w:numPr>
          <w:ilvl w:val="0"/>
          <w:numId w:val="11"/>
        </w:numPr>
        <w:spacing w:after="0" w:line="240" w:lineRule="auto"/>
        <w:rPr>
          <w:rFonts w:ascii="Century Schoolbook" w:hAnsi="Century Schoolbook"/>
        </w:rPr>
      </w:pPr>
      <w:r w:rsidRPr="0060172A">
        <w:rPr>
          <w:rFonts w:ascii="Century Schoolbook" w:hAnsi="Century Schoolbook"/>
        </w:rPr>
        <w:t>G.S. 14-415.12(b)</w:t>
      </w:r>
      <w:r>
        <w:rPr>
          <w:rFonts w:ascii="Century Schoolbook" w:hAnsi="Century Schoolbook"/>
        </w:rPr>
        <w:t xml:space="preserve">(1) prohibits </w:t>
      </w:r>
      <w:r w:rsidR="0012531A">
        <w:rPr>
          <w:rFonts w:ascii="Century Schoolbook" w:hAnsi="Century Schoolbook"/>
        </w:rPr>
        <w:t>the issuance of a CCP if the individual is prohibited from owning a firearm under state or federal law. This is a catch all provision.</w:t>
      </w:r>
    </w:p>
    <w:p w14:paraId="28BACCCD" w14:textId="77777777" w:rsidR="006A39BF" w:rsidRDefault="006A39BF" w:rsidP="006A39BF">
      <w:pPr>
        <w:pStyle w:val="ListParagraph"/>
        <w:spacing w:after="0" w:line="240" w:lineRule="auto"/>
        <w:rPr>
          <w:rFonts w:ascii="Century Schoolbook" w:hAnsi="Century Schoolbook"/>
        </w:rPr>
      </w:pPr>
    </w:p>
    <w:p w14:paraId="694A0C0C" w14:textId="2FDE2F6C" w:rsidR="0012531A" w:rsidRDefault="002A08E3" w:rsidP="006A39BF">
      <w:pPr>
        <w:pStyle w:val="ListParagraph"/>
        <w:numPr>
          <w:ilvl w:val="0"/>
          <w:numId w:val="11"/>
        </w:numPr>
        <w:spacing w:after="0" w:line="240" w:lineRule="auto"/>
        <w:rPr>
          <w:rFonts w:ascii="Century Schoolbook" w:hAnsi="Century Schoolbook"/>
        </w:rPr>
      </w:pPr>
      <w:r w:rsidRPr="002A08E3">
        <w:rPr>
          <w:rFonts w:ascii="Century Schoolbook" w:hAnsi="Century Schoolbook"/>
        </w:rPr>
        <w:t>G.S. 14-415.12(b)(</w:t>
      </w:r>
      <w:r>
        <w:rPr>
          <w:rFonts w:ascii="Century Schoolbook" w:hAnsi="Century Schoolbook"/>
        </w:rPr>
        <w:t>2</w:t>
      </w:r>
      <w:r w:rsidRPr="002A08E3">
        <w:rPr>
          <w:rFonts w:ascii="Century Schoolbook" w:hAnsi="Century Schoolbook"/>
        </w:rPr>
        <w:t>)</w:t>
      </w:r>
      <w:r>
        <w:rPr>
          <w:rFonts w:ascii="Century Schoolbook" w:hAnsi="Century Schoolbook"/>
        </w:rPr>
        <w:t xml:space="preserve"> prohibits the issuance </w:t>
      </w:r>
      <w:r w:rsidR="00511181">
        <w:rPr>
          <w:rFonts w:ascii="Century Schoolbook" w:hAnsi="Century Schoolbook"/>
        </w:rPr>
        <w:t xml:space="preserve">of a permit to an individual who is under indictment, or against whom </w:t>
      </w:r>
      <w:r w:rsidR="00511181" w:rsidRPr="00511181">
        <w:rPr>
          <w:rFonts w:ascii="Century Schoolbook" w:hAnsi="Century Schoolbook"/>
        </w:rPr>
        <w:t xml:space="preserve">a finding of probable cause exists for a </w:t>
      </w:r>
      <w:r w:rsidR="00511181" w:rsidRPr="00511181">
        <w:rPr>
          <w:rFonts w:ascii="Century Schoolbook" w:hAnsi="Century Schoolbook"/>
        </w:rPr>
        <w:lastRenderedPageBreak/>
        <w:t>felony</w:t>
      </w:r>
      <w:r w:rsidR="00511181">
        <w:rPr>
          <w:rFonts w:ascii="Century Schoolbook" w:hAnsi="Century Schoolbook"/>
        </w:rPr>
        <w:t xml:space="preserve">. </w:t>
      </w:r>
      <w:r w:rsidR="001571BD">
        <w:rPr>
          <w:rFonts w:ascii="Century Schoolbook" w:hAnsi="Century Schoolbook"/>
        </w:rPr>
        <w:t xml:space="preserve">In any event, </w:t>
      </w:r>
      <w:r w:rsidR="00E37884">
        <w:rPr>
          <w:rFonts w:ascii="Century Schoolbook" w:hAnsi="Century Schoolbook"/>
        </w:rPr>
        <w:t>a prohibition on the possession of firearms is generally a condition of pre-trial release.</w:t>
      </w:r>
    </w:p>
    <w:p w14:paraId="063003A6" w14:textId="77777777" w:rsidR="006A39BF" w:rsidRPr="006A39BF" w:rsidRDefault="006A39BF" w:rsidP="006A39BF">
      <w:pPr>
        <w:spacing w:after="0" w:line="240" w:lineRule="auto"/>
        <w:rPr>
          <w:rFonts w:ascii="Century Schoolbook" w:hAnsi="Century Schoolbook"/>
        </w:rPr>
      </w:pPr>
    </w:p>
    <w:p w14:paraId="6BD80FAB" w14:textId="43847844" w:rsidR="00517C3B" w:rsidRDefault="00E37884" w:rsidP="006A39BF">
      <w:pPr>
        <w:pStyle w:val="ListParagraph"/>
        <w:numPr>
          <w:ilvl w:val="0"/>
          <w:numId w:val="11"/>
        </w:numPr>
        <w:spacing w:after="0" w:line="240" w:lineRule="auto"/>
        <w:rPr>
          <w:rFonts w:ascii="Century Schoolbook" w:hAnsi="Century Schoolbook"/>
        </w:rPr>
      </w:pPr>
      <w:r w:rsidRPr="00E37884">
        <w:rPr>
          <w:rFonts w:ascii="Century Schoolbook" w:hAnsi="Century Schoolbook"/>
        </w:rPr>
        <w:t>G.S. 14-415.12(b)(</w:t>
      </w:r>
      <w:r>
        <w:rPr>
          <w:rFonts w:ascii="Century Schoolbook" w:hAnsi="Century Schoolbook"/>
        </w:rPr>
        <w:t xml:space="preserve">3) </w:t>
      </w:r>
      <w:r w:rsidR="00293DA9" w:rsidRPr="00293DA9">
        <w:rPr>
          <w:rFonts w:ascii="Century Schoolbook" w:hAnsi="Century Schoolbook"/>
        </w:rPr>
        <w:t xml:space="preserve">prohibits the issuance of a permit to an individual who </w:t>
      </w:r>
      <w:r w:rsidR="00293DA9">
        <w:rPr>
          <w:rFonts w:ascii="Century Schoolbook" w:hAnsi="Century Schoolbook"/>
        </w:rPr>
        <w:t xml:space="preserve">has </w:t>
      </w:r>
      <w:r w:rsidR="00293DA9" w:rsidRPr="00293DA9">
        <w:rPr>
          <w:rFonts w:ascii="Century Schoolbook" w:hAnsi="Century Schoolbook"/>
        </w:rPr>
        <w:t>been adjudicated guilty in any court of a felony, unless: (</w:t>
      </w:r>
      <w:proofErr w:type="spellStart"/>
      <w:r w:rsidR="00293DA9" w:rsidRPr="00293DA9">
        <w:rPr>
          <w:rFonts w:ascii="Century Schoolbook" w:hAnsi="Century Schoolbook"/>
        </w:rPr>
        <w:t>i</w:t>
      </w:r>
      <w:proofErr w:type="spellEnd"/>
      <w:r w:rsidR="00293DA9" w:rsidRPr="00293DA9">
        <w:rPr>
          <w:rFonts w:ascii="Century Schoolbook" w:hAnsi="Century Schoolbook"/>
        </w:rPr>
        <w:t>) the felony is an offense that pertains to antitrust violations, unfair trade practices, or restraints of trade, or (ii) the person's firearms rights have been restored pursuant to G.S. 14-415.4.</w:t>
      </w:r>
      <w:r w:rsidR="00293DA9">
        <w:rPr>
          <w:rFonts w:ascii="Century Schoolbook" w:hAnsi="Century Schoolbook"/>
        </w:rPr>
        <w:t xml:space="preserve"> This is equivalent to </w:t>
      </w:r>
      <w:r w:rsidR="00293DA9" w:rsidRPr="00293DA9">
        <w:rPr>
          <w:rFonts w:ascii="Century Schoolbook" w:hAnsi="Century Schoolbook"/>
        </w:rPr>
        <w:t>18 U.S.C. 922(g)(</w:t>
      </w:r>
      <w:r w:rsidR="00E704AF">
        <w:rPr>
          <w:rFonts w:ascii="Century Schoolbook" w:hAnsi="Century Schoolbook"/>
        </w:rPr>
        <w:t>1</w:t>
      </w:r>
      <w:r w:rsidR="00293DA9" w:rsidRPr="00293DA9">
        <w:rPr>
          <w:rFonts w:ascii="Century Schoolbook" w:hAnsi="Century Schoolbook"/>
        </w:rPr>
        <w:t>)</w:t>
      </w:r>
      <w:r w:rsidR="006A39BF">
        <w:rPr>
          <w:rFonts w:ascii="Century Schoolbook" w:hAnsi="Century Schoolbook"/>
        </w:rPr>
        <w:t>.</w:t>
      </w:r>
    </w:p>
    <w:p w14:paraId="34D19911" w14:textId="77777777" w:rsidR="006A39BF" w:rsidRPr="006A39BF" w:rsidRDefault="006A39BF" w:rsidP="006A39BF">
      <w:pPr>
        <w:spacing w:after="0" w:line="240" w:lineRule="auto"/>
        <w:rPr>
          <w:rFonts w:ascii="Century Schoolbook" w:hAnsi="Century Schoolbook"/>
        </w:rPr>
      </w:pPr>
    </w:p>
    <w:p w14:paraId="35E14E3D" w14:textId="2865A30B" w:rsidR="00917C0E" w:rsidRDefault="00517C3B" w:rsidP="006A39BF">
      <w:pPr>
        <w:pStyle w:val="ListParagraph"/>
        <w:numPr>
          <w:ilvl w:val="0"/>
          <w:numId w:val="11"/>
        </w:numPr>
        <w:spacing w:after="0" w:line="240" w:lineRule="auto"/>
        <w:rPr>
          <w:rFonts w:ascii="Century Schoolbook" w:hAnsi="Century Schoolbook"/>
        </w:rPr>
      </w:pPr>
      <w:r w:rsidRPr="00517C3B">
        <w:rPr>
          <w:rFonts w:ascii="Century Schoolbook" w:hAnsi="Century Schoolbook"/>
        </w:rPr>
        <w:t>G.S. 14-415.12(b)(</w:t>
      </w:r>
      <w:r>
        <w:rPr>
          <w:rFonts w:ascii="Century Schoolbook" w:hAnsi="Century Schoolbook"/>
        </w:rPr>
        <w:t>4</w:t>
      </w:r>
      <w:r w:rsidR="00507557">
        <w:rPr>
          <w:rFonts w:ascii="Century Schoolbook" w:hAnsi="Century Schoolbook"/>
        </w:rPr>
        <w:t>)</w:t>
      </w:r>
      <w:r w:rsidR="00636EFE">
        <w:rPr>
          <w:rFonts w:ascii="Century Schoolbook" w:hAnsi="Century Schoolbook"/>
        </w:rPr>
        <w:t xml:space="preserve"> </w:t>
      </w:r>
      <w:r w:rsidR="00507557" w:rsidRPr="00507557">
        <w:rPr>
          <w:rFonts w:ascii="Century Schoolbook" w:hAnsi="Century Schoolbook"/>
        </w:rPr>
        <w:t>prohibits the issuance of a permit to an individual who is</w:t>
      </w:r>
      <w:r w:rsidR="00507557">
        <w:rPr>
          <w:rFonts w:ascii="Century Schoolbook" w:hAnsi="Century Schoolbook"/>
        </w:rPr>
        <w:t xml:space="preserve"> a fugitive from justice. This is equivalent to the prohibition under 18 </w:t>
      </w:r>
      <w:r w:rsidR="00507557" w:rsidRPr="00507557">
        <w:rPr>
          <w:rFonts w:ascii="Century Schoolbook" w:hAnsi="Century Schoolbook"/>
        </w:rPr>
        <w:t>U.S.C. 922(g)(</w:t>
      </w:r>
      <w:r w:rsidR="00353139">
        <w:rPr>
          <w:rFonts w:ascii="Century Schoolbook" w:hAnsi="Century Schoolbook"/>
        </w:rPr>
        <w:t>2</w:t>
      </w:r>
      <w:r w:rsidR="00507557" w:rsidRPr="00507557">
        <w:rPr>
          <w:rFonts w:ascii="Century Schoolbook" w:hAnsi="Century Schoolbook"/>
        </w:rPr>
        <w:t>)</w:t>
      </w:r>
      <w:r w:rsidR="00353139">
        <w:rPr>
          <w:rFonts w:ascii="Century Schoolbook" w:hAnsi="Century Schoolbook"/>
        </w:rPr>
        <w:t>.</w:t>
      </w:r>
    </w:p>
    <w:p w14:paraId="59FAEE31" w14:textId="77777777" w:rsidR="006A39BF" w:rsidRPr="006A39BF" w:rsidRDefault="006A39BF" w:rsidP="006A39BF">
      <w:pPr>
        <w:spacing w:after="0" w:line="240" w:lineRule="auto"/>
        <w:rPr>
          <w:rFonts w:ascii="Century Schoolbook" w:hAnsi="Century Schoolbook"/>
        </w:rPr>
      </w:pPr>
    </w:p>
    <w:p w14:paraId="7086AE6B" w14:textId="4DD12233" w:rsidR="00353139" w:rsidRDefault="00353139" w:rsidP="006A39BF">
      <w:pPr>
        <w:pStyle w:val="ListParagraph"/>
        <w:numPr>
          <w:ilvl w:val="0"/>
          <w:numId w:val="11"/>
        </w:numPr>
        <w:spacing w:after="0" w:line="240" w:lineRule="auto"/>
        <w:rPr>
          <w:rFonts w:ascii="Century Schoolbook" w:hAnsi="Century Schoolbook"/>
        </w:rPr>
      </w:pPr>
      <w:r w:rsidRPr="00353139">
        <w:rPr>
          <w:rFonts w:ascii="Century Schoolbook" w:hAnsi="Century Schoolbook"/>
        </w:rPr>
        <w:t>G.S. 14-415.12(b)(</w:t>
      </w:r>
      <w:r>
        <w:rPr>
          <w:rFonts w:ascii="Century Schoolbook" w:hAnsi="Century Schoolbook"/>
        </w:rPr>
        <w:t>5</w:t>
      </w:r>
      <w:r w:rsidRPr="00353139">
        <w:rPr>
          <w:rFonts w:ascii="Century Schoolbook" w:hAnsi="Century Schoolbook"/>
        </w:rPr>
        <w:t>)</w:t>
      </w:r>
      <w:r>
        <w:rPr>
          <w:rFonts w:ascii="Century Schoolbook" w:hAnsi="Century Schoolbook"/>
        </w:rPr>
        <w:t xml:space="preserve"> </w:t>
      </w:r>
      <w:r w:rsidRPr="00353139">
        <w:rPr>
          <w:rFonts w:ascii="Century Schoolbook" w:hAnsi="Century Schoolbook"/>
        </w:rPr>
        <w:t>prohibits the issuance of a permit to an individual who i</w:t>
      </w:r>
      <w:r>
        <w:rPr>
          <w:rFonts w:ascii="Century Schoolbook" w:hAnsi="Century Schoolbook"/>
        </w:rPr>
        <w:t xml:space="preserve">s </w:t>
      </w:r>
      <w:r w:rsidR="00581ACB" w:rsidRPr="00581ACB">
        <w:rPr>
          <w:rFonts w:ascii="Century Schoolbook" w:hAnsi="Century Schoolbook"/>
        </w:rPr>
        <w:t>an unlawful user of, or addicted to marijuana, alcohol, or any depressant, stimulant, or narcotic drug, or any other controlled substance as defined in 21 U.S.C. § 802.</w:t>
      </w:r>
      <w:r w:rsidR="00581ACB">
        <w:rPr>
          <w:rFonts w:ascii="Century Schoolbook" w:hAnsi="Century Schoolbook"/>
        </w:rPr>
        <w:t xml:space="preserve"> This language is similar to that of 18 U.</w:t>
      </w:r>
      <w:r w:rsidR="00581ACB" w:rsidRPr="00581ACB">
        <w:t xml:space="preserve"> </w:t>
      </w:r>
      <w:r w:rsidR="00581ACB" w:rsidRPr="00581ACB">
        <w:rPr>
          <w:rFonts w:ascii="Century Schoolbook" w:hAnsi="Century Schoolbook"/>
        </w:rPr>
        <w:t>S.C. 922(g)(</w:t>
      </w:r>
      <w:r w:rsidR="00FA27A0">
        <w:rPr>
          <w:rFonts w:ascii="Century Schoolbook" w:hAnsi="Century Schoolbook"/>
        </w:rPr>
        <w:t>3</w:t>
      </w:r>
      <w:r w:rsidR="00581ACB" w:rsidRPr="00581ACB">
        <w:rPr>
          <w:rFonts w:ascii="Century Schoolbook" w:hAnsi="Century Schoolbook"/>
        </w:rPr>
        <w:t>)</w:t>
      </w:r>
      <w:r w:rsidR="00FA27A0">
        <w:rPr>
          <w:rFonts w:ascii="Century Schoolbook" w:hAnsi="Century Schoolbook"/>
        </w:rPr>
        <w:t xml:space="preserve">, except that, federal law does not prohibit </w:t>
      </w:r>
      <w:r w:rsidR="002148A7">
        <w:rPr>
          <w:rFonts w:ascii="Century Schoolbook" w:hAnsi="Century Schoolbook"/>
        </w:rPr>
        <w:t xml:space="preserve">alcoholics from possessing firearms. </w:t>
      </w:r>
    </w:p>
    <w:p w14:paraId="5C0A0123" w14:textId="77777777" w:rsidR="006A39BF" w:rsidRPr="006A39BF" w:rsidRDefault="006A39BF" w:rsidP="006A39BF">
      <w:pPr>
        <w:spacing w:after="0" w:line="240" w:lineRule="auto"/>
        <w:rPr>
          <w:rFonts w:ascii="Century Schoolbook" w:hAnsi="Century Schoolbook"/>
        </w:rPr>
      </w:pPr>
    </w:p>
    <w:p w14:paraId="16EE9B15" w14:textId="77777777" w:rsidR="006A39BF" w:rsidRDefault="002148A7" w:rsidP="006A39BF">
      <w:pPr>
        <w:pStyle w:val="ListParagraph"/>
        <w:numPr>
          <w:ilvl w:val="0"/>
          <w:numId w:val="11"/>
        </w:numPr>
        <w:spacing w:line="240" w:lineRule="auto"/>
        <w:rPr>
          <w:rFonts w:ascii="Century Schoolbook" w:hAnsi="Century Schoolbook"/>
        </w:rPr>
      </w:pPr>
      <w:r w:rsidRPr="005A0174">
        <w:rPr>
          <w:rFonts w:ascii="Century Schoolbook" w:hAnsi="Century Schoolbook"/>
        </w:rPr>
        <w:t>G.S. 14-415.12(b)(</w:t>
      </w:r>
      <w:r w:rsidR="005A0174" w:rsidRPr="005A0174">
        <w:rPr>
          <w:rFonts w:ascii="Century Schoolbook" w:hAnsi="Century Schoolbook"/>
        </w:rPr>
        <w:t>6</w:t>
      </w:r>
      <w:r w:rsidRPr="005A0174">
        <w:rPr>
          <w:rFonts w:ascii="Century Schoolbook" w:hAnsi="Century Schoolbook"/>
        </w:rPr>
        <w:t>)</w:t>
      </w:r>
      <w:r w:rsidR="005A0174" w:rsidRPr="005A0174">
        <w:t xml:space="preserve"> </w:t>
      </w:r>
      <w:r w:rsidR="005A0174" w:rsidRPr="005A0174">
        <w:rPr>
          <w:rFonts w:ascii="Century Schoolbook" w:hAnsi="Century Schoolbook"/>
        </w:rPr>
        <w:t>prohibits the issuance of a permit to an individual who is currently or has been previously adjudicated by a court or administratively determined by a governmental agency whose decisions are subject to judicial review to be, lacking mental capacity or mentally ill. Receipt of previous consultative services or outpatient treatment alone shall not disqualify an applicant. This language closely tracks the language of 18 U.S.C. 922(g)(4).</w:t>
      </w:r>
    </w:p>
    <w:p w14:paraId="5AC0330B" w14:textId="77777777" w:rsidR="006A39BF" w:rsidRPr="006A39BF" w:rsidRDefault="006A39BF" w:rsidP="006A39BF">
      <w:pPr>
        <w:pStyle w:val="ListParagraph"/>
        <w:rPr>
          <w:rFonts w:ascii="Century Schoolbook" w:hAnsi="Century Schoolbook"/>
        </w:rPr>
      </w:pPr>
    </w:p>
    <w:p w14:paraId="3B72A113" w14:textId="77777777" w:rsidR="006A39BF" w:rsidRDefault="00DE5B20" w:rsidP="006A39BF">
      <w:pPr>
        <w:pStyle w:val="ListParagraph"/>
        <w:numPr>
          <w:ilvl w:val="0"/>
          <w:numId w:val="11"/>
        </w:numPr>
        <w:spacing w:line="240" w:lineRule="auto"/>
        <w:rPr>
          <w:rFonts w:ascii="Century Schoolbook" w:hAnsi="Century Schoolbook"/>
        </w:rPr>
      </w:pPr>
      <w:r w:rsidRPr="006A39BF">
        <w:rPr>
          <w:rFonts w:ascii="Century Schoolbook" w:hAnsi="Century Schoolbook"/>
        </w:rPr>
        <w:t>G.S. 14-415.12(b)(7) prohibits the issuance of a permit to an individual who is</w:t>
      </w:r>
      <w:r w:rsidR="00EF6610" w:rsidRPr="006A39BF">
        <w:rPr>
          <w:rFonts w:ascii="Century Schoolbook" w:hAnsi="Century Schoolbook"/>
        </w:rPr>
        <w:t xml:space="preserve">  or has been discharged from the Armed Forces of the United States under conditions other than honorable. </w:t>
      </w:r>
      <w:r w:rsidR="003D3B00" w:rsidRPr="006A39BF">
        <w:rPr>
          <w:rFonts w:ascii="Century Schoolbook" w:hAnsi="Century Schoolbook"/>
        </w:rPr>
        <w:t xml:space="preserve">This provision is similar to 18 U.S.C. 922(g)(7), but casts a wider net, which includes not only </w:t>
      </w:r>
      <w:r w:rsidR="00F91B3B" w:rsidRPr="006A39BF">
        <w:rPr>
          <w:rFonts w:ascii="Century Schoolbook" w:hAnsi="Century Schoolbook"/>
        </w:rPr>
        <w:t>dishonorable discharge</w:t>
      </w:r>
      <w:r w:rsidR="001B5D55" w:rsidRPr="006A39BF">
        <w:rPr>
          <w:rFonts w:ascii="Century Schoolbook" w:hAnsi="Century Schoolbook"/>
        </w:rPr>
        <w:t xml:space="preserve"> (DD)</w:t>
      </w:r>
      <w:r w:rsidR="00F91B3B" w:rsidRPr="006A39BF">
        <w:rPr>
          <w:rFonts w:ascii="Century Schoolbook" w:hAnsi="Century Schoolbook"/>
        </w:rPr>
        <w:t xml:space="preserve">, but </w:t>
      </w:r>
      <w:r w:rsidR="00086FE5" w:rsidRPr="006A39BF">
        <w:rPr>
          <w:rFonts w:ascii="Century Schoolbook" w:hAnsi="Century Schoolbook"/>
        </w:rPr>
        <w:t xml:space="preserve">also </w:t>
      </w:r>
      <w:r w:rsidR="001B5D55" w:rsidRPr="006A39BF">
        <w:rPr>
          <w:rFonts w:ascii="Century Schoolbook" w:hAnsi="Century Schoolbook"/>
        </w:rPr>
        <w:t>Under Other Than Honorable Conditions (OTH), Bad Conduct Discharge (</w:t>
      </w:r>
      <w:r w:rsidR="00C050C3" w:rsidRPr="006A39BF">
        <w:rPr>
          <w:rFonts w:ascii="Century Schoolbook" w:hAnsi="Century Schoolbook"/>
        </w:rPr>
        <w:t xml:space="preserve">BCD, and other administrative discharges. It is possible to petition the government to change an individual’s discharge status. </w:t>
      </w:r>
    </w:p>
    <w:p w14:paraId="379A227B" w14:textId="77777777" w:rsidR="006A39BF" w:rsidRPr="006A39BF" w:rsidRDefault="006A39BF" w:rsidP="006A39BF">
      <w:pPr>
        <w:pStyle w:val="ListParagraph"/>
        <w:rPr>
          <w:rFonts w:ascii="Century Schoolbook" w:hAnsi="Century Schoolbook"/>
        </w:rPr>
      </w:pPr>
    </w:p>
    <w:p w14:paraId="769F679B" w14:textId="555ABFB7" w:rsidR="00BD64F5" w:rsidRDefault="00BD64F5" w:rsidP="006A39BF">
      <w:pPr>
        <w:pStyle w:val="ListParagraph"/>
        <w:numPr>
          <w:ilvl w:val="0"/>
          <w:numId w:val="11"/>
        </w:numPr>
        <w:spacing w:line="240" w:lineRule="auto"/>
        <w:rPr>
          <w:rFonts w:ascii="Century Schoolbook" w:hAnsi="Century Schoolbook"/>
        </w:rPr>
      </w:pPr>
      <w:r w:rsidRPr="006A39BF">
        <w:rPr>
          <w:rFonts w:ascii="Century Schoolbook" w:hAnsi="Century Schoolbook"/>
        </w:rPr>
        <w:t>G.S. 14-415.12(b)(8)</w:t>
      </w:r>
      <w:r w:rsidRPr="00BD64F5">
        <w:t xml:space="preserve"> </w:t>
      </w:r>
      <w:r w:rsidRPr="006A39BF">
        <w:rPr>
          <w:rFonts w:ascii="Century Schoolbook" w:hAnsi="Century Schoolbook"/>
        </w:rPr>
        <w:t>prohibits the issuance of a permit to an individual who is</w:t>
      </w:r>
      <w:r w:rsidR="00BC1DB4">
        <w:rPr>
          <w:rFonts w:ascii="Century Schoolbook" w:hAnsi="Century Schoolbook"/>
        </w:rPr>
        <w:t xml:space="preserve"> </w:t>
      </w:r>
      <w:r w:rsidR="00EF7125" w:rsidRPr="006A39BF">
        <w:rPr>
          <w:rFonts w:ascii="Century Schoolbook" w:hAnsi="Century Schoolbook"/>
        </w:rPr>
        <w:t>or has been adjudicated guilty of or received a prayer for judgment continued or suspended sentence for one or more crimes of violence constituting a misdemeanor, including but not limited to:</w:t>
      </w:r>
    </w:p>
    <w:p w14:paraId="0B89CADD" w14:textId="77777777" w:rsidR="006A39BF" w:rsidRPr="006A39BF" w:rsidRDefault="006A39BF" w:rsidP="006A39BF">
      <w:pPr>
        <w:pStyle w:val="ListParagraph"/>
        <w:spacing w:line="240" w:lineRule="auto"/>
        <w:rPr>
          <w:rFonts w:ascii="Century Schoolbook" w:hAnsi="Century Schoolbook"/>
        </w:rPr>
      </w:pPr>
    </w:p>
    <w:p w14:paraId="688AA068" w14:textId="7504C406" w:rsidR="00EF7125" w:rsidRDefault="00693916" w:rsidP="006A39BF">
      <w:pPr>
        <w:pStyle w:val="ListParagraph"/>
        <w:numPr>
          <w:ilvl w:val="1"/>
          <w:numId w:val="11"/>
        </w:numPr>
        <w:spacing w:after="0" w:line="240" w:lineRule="auto"/>
        <w:rPr>
          <w:rFonts w:ascii="Century Schoolbook" w:hAnsi="Century Schoolbook"/>
        </w:rPr>
      </w:pPr>
      <w:r>
        <w:rPr>
          <w:rFonts w:ascii="Century Schoolbook" w:hAnsi="Century Schoolbook"/>
        </w:rPr>
        <w:t>A</w:t>
      </w:r>
      <w:r w:rsidRPr="00693916">
        <w:rPr>
          <w:rFonts w:ascii="Century Schoolbook" w:hAnsi="Century Schoolbook"/>
        </w:rPr>
        <w:t xml:space="preserve"> violation of a misdemeanor under Article 8 of Chapter 14 of the General Statutes except for a violation of G.S. 14-33(a)</w:t>
      </w:r>
      <w:r w:rsidR="0030128D">
        <w:rPr>
          <w:rFonts w:ascii="Century Schoolbook" w:hAnsi="Century Schoolbook"/>
        </w:rPr>
        <w:t xml:space="preserve"> (simple assault);</w:t>
      </w:r>
    </w:p>
    <w:p w14:paraId="4B582A0A" w14:textId="77777777" w:rsidR="006A39BF" w:rsidRDefault="006A39BF" w:rsidP="006A39BF">
      <w:pPr>
        <w:pStyle w:val="ListParagraph"/>
        <w:spacing w:after="0" w:line="240" w:lineRule="auto"/>
        <w:ind w:left="1440"/>
        <w:rPr>
          <w:rFonts w:ascii="Century Schoolbook" w:hAnsi="Century Schoolbook"/>
        </w:rPr>
      </w:pPr>
    </w:p>
    <w:p w14:paraId="303E5DBB" w14:textId="4EF0A80F" w:rsidR="0030128D" w:rsidRDefault="00C6661D" w:rsidP="006A39BF">
      <w:pPr>
        <w:pStyle w:val="ListParagraph"/>
        <w:numPr>
          <w:ilvl w:val="1"/>
          <w:numId w:val="11"/>
        </w:numPr>
        <w:spacing w:after="0" w:line="240" w:lineRule="auto"/>
        <w:rPr>
          <w:rFonts w:ascii="Century Schoolbook" w:hAnsi="Century Schoolbook"/>
        </w:rPr>
      </w:pPr>
      <w:r>
        <w:rPr>
          <w:rFonts w:ascii="Century Schoolbook" w:hAnsi="Century Schoolbook"/>
        </w:rPr>
        <w:lastRenderedPageBreak/>
        <w:t>14-</w:t>
      </w:r>
      <w:r w:rsidR="00233BB6">
        <w:rPr>
          <w:rFonts w:ascii="Century Schoolbook" w:hAnsi="Century Schoolbook"/>
        </w:rPr>
        <w:t>226.1</w:t>
      </w:r>
      <w:r w:rsidR="0074705C">
        <w:rPr>
          <w:rFonts w:ascii="Century Schoolbook" w:hAnsi="Century Schoolbook"/>
        </w:rPr>
        <w:t xml:space="preserve"> – Obstructing Justice</w:t>
      </w:r>
      <w:r w:rsidR="0041405D">
        <w:rPr>
          <w:rFonts w:ascii="Century Schoolbook" w:hAnsi="Century Schoolbook"/>
        </w:rPr>
        <w:t>;</w:t>
      </w:r>
    </w:p>
    <w:p w14:paraId="26393D75" w14:textId="77777777" w:rsidR="006A39BF" w:rsidRPr="006A39BF" w:rsidRDefault="006A39BF" w:rsidP="006A39BF">
      <w:pPr>
        <w:spacing w:after="0" w:line="240" w:lineRule="auto"/>
        <w:rPr>
          <w:rFonts w:ascii="Century Schoolbook" w:hAnsi="Century Schoolbook"/>
        </w:rPr>
      </w:pPr>
    </w:p>
    <w:p w14:paraId="123B9A30" w14:textId="2DFAD1E6" w:rsidR="00233BB6" w:rsidRDefault="00DA4607" w:rsidP="006A39BF">
      <w:pPr>
        <w:pStyle w:val="ListParagraph"/>
        <w:numPr>
          <w:ilvl w:val="1"/>
          <w:numId w:val="11"/>
        </w:numPr>
        <w:spacing w:after="0" w:line="240" w:lineRule="auto"/>
        <w:rPr>
          <w:rFonts w:ascii="Century Schoolbook" w:hAnsi="Century Schoolbook"/>
        </w:rPr>
      </w:pPr>
      <w:r>
        <w:rPr>
          <w:rFonts w:ascii="Century Schoolbook" w:hAnsi="Century Schoolbook"/>
        </w:rPr>
        <w:t xml:space="preserve">4-258.1 – This is a typo in the statute. </w:t>
      </w:r>
      <w:r w:rsidR="00FD3A24">
        <w:rPr>
          <w:rFonts w:ascii="Century Schoolbook" w:hAnsi="Century Schoolbook"/>
        </w:rPr>
        <w:t xml:space="preserve">It is likely a reference to 14-258.1 - </w:t>
      </w:r>
      <w:r w:rsidR="00FD3A24" w:rsidRPr="00FD3A24">
        <w:rPr>
          <w:rFonts w:ascii="Century Schoolbook" w:hAnsi="Century Schoolbook"/>
        </w:rPr>
        <w:t>Furnishing poison, controlled substances, deadly weapons, cartridges, ammunition or alcoholic beverages to inmates of charitable, mental or penal institutions or local confinement facilities; furnishing tobacco products including vapor products; or furnishing mobile phones to inmates or delinquent juveniles</w:t>
      </w:r>
      <w:r w:rsidR="0041405D">
        <w:rPr>
          <w:rFonts w:ascii="Century Schoolbook" w:hAnsi="Century Schoolbook"/>
        </w:rPr>
        <w:t>;</w:t>
      </w:r>
    </w:p>
    <w:p w14:paraId="2043D129" w14:textId="77777777" w:rsidR="006A39BF" w:rsidRPr="006A39BF" w:rsidRDefault="006A39BF" w:rsidP="006A39BF">
      <w:pPr>
        <w:spacing w:after="0" w:line="240" w:lineRule="auto"/>
        <w:rPr>
          <w:rFonts w:ascii="Century Schoolbook" w:hAnsi="Century Schoolbook"/>
        </w:rPr>
      </w:pPr>
    </w:p>
    <w:p w14:paraId="7DE7C841" w14:textId="0A53315C" w:rsidR="00FD3A24" w:rsidRDefault="00CB2D0F" w:rsidP="006A39BF">
      <w:pPr>
        <w:pStyle w:val="ListParagraph"/>
        <w:numPr>
          <w:ilvl w:val="1"/>
          <w:numId w:val="11"/>
        </w:numPr>
        <w:spacing w:after="0" w:line="240" w:lineRule="auto"/>
        <w:rPr>
          <w:rFonts w:ascii="Century Schoolbook" w:hAnsi="Century Schoolbook"/>
        </w:rPr>
      </w:pPr>
      <w:r>
        <w:rPr>
          <w:rFonts w:ascii="Century Schoolbook" w:hAnsi="Century Schoolbook"/>
        </w:rPr>
        <w:t xml:space="preserve">14-269.2 - </w:t>
      </w:r>
      <w:r w:rsidRPr="00CB2D0F">
        <w:rPr>
          <w:rFonts w:ascii="Century Schoolbook" w:hAnsi="Century Schoolbook"/>
        </w:rPr>
        <w:t>Weapons on campus or other educational property</w:t>
      </w:r>
      <w:r w:rsidR="0041405D">
        <w:rPr>
          <w:rFonts w:ascii="Century Schoolbook" w:hAnsi="Century Schoolbook"/>
        </w:rPr>
        <w:t>;</w:t>
      </w:r>
    </w:p>
    <w:p w14:paraId="39A466A1" w14:textId="77777777" w:rsidR="006A39BF" w:rsidRPr="006A39BF" w:rsidRDefault="006A39BF" w:rsidP="006A39BF">
      <w:pPr>
        <w:spacing w:after="0" w:line="240" w:lineRule="auto"/>
        <w:rPr>
          <w:rFonts w:ascii="Century Schoolbook" w:hAnsi="Century Schoolbook"/>
        </w:rPr>
      </w:pPr>
    </w:p>
    <w:p w14:paraId="5B24AEF8" w14:textId="34995C5E" w:rsidR="00CB2D0F" w:rsidRDefault="007013EA" w:rsidP="006A39BF">
      <w:pPr>
        <w:pStyle w:val="ListParagraph"/>
        <w:numPr>
          <w:ilvl w:val="1"/>
          <w:numId w:val="11"/>
        </w:numPr>
        <w:spacing w:after="0" w:line="240" w:lineRule="auto"/>
        <w:rPr>
          <w:rFonts w:ascii="Century Schoolbook" w:hAnsi="Century Schoolbook"/>
        </w:rPr>
      </w:pPr>
      <w:r w:rsidRPr="007013EA">
        <w:rPr>
          <w:rFonts w:ascii="Century Schoolbook" w:hAnsi="Century Schoolbook"/>
        </w:rPr>
        <w:t>14-269.3</w:t>
      </w:r>
      <w:r>
        <w:rPr>
          <w:rFonts w:ascii="Century Schoolbook" w:hAnsi="Century Schoolbook"/>
        </w:rPr>
        <w:t xml:space="preserve"> -</w:t>
      </w:r>
      <w:r w:rsidRPr="007013EA">
        <w:rPr>
          <w:rFonts w:ascii="Century Schoolbook" w:hAnsi="Century Schoolbook"/>
        </w:rPr>
        <w:t xml:space="preserve"> Carrying weapons into assemblies and establishments where alcoholic beverages are sold and consumed</w:t>
      </w:r>
      <w:r w:rsidR="0041405D">
        <w:rPr>
          <w:rFonts w:ascii="Century Schoolbook" w:hAnsi="Century Schoolbook"/>
        </w:rPr>
        <w:t>;</w:t>
      </w:r>
    </w:p>
    <w:p w14:paraId="4D01627E" w14:textId="77777777" w:rsidR="006A39BF" w:rsidRPr="006A39BF" w:rsidRDefault="006A39BF" w:rsidP="006A39BF">
      <w:pPr>
        <w:spacing w:after="0" w:line="240" w:lineRule="auto"/>
        <w:rPr>
          <w:rFonts w:ascii="Century Schoolbook" w:hAnsi="Century Schoolbook"/>
        </w:rPr>
      </w:pPr>
    </w:p>
    <w:p w14:paraId="1D255683" w14:textId="2D457938" w:rsidR="0041405D" w:rsidRDefault="004B3083" w:rsidP="006A39BF">
      <w:pPr>
        <w:pStyle w:val="ListParagraph"/>
        <w:numPr>
          <w:ilvl w:val="1"/>
          <w:numId w:val="11"/>
        </w:numPr>
        <w:spacing w:after="0" w:line="240" w:lineRule="auto"/>
        <w:rPr>
          <w:rFonts w:ascii="Century Schoolbook" w:hAnsi="Century Schoolbook"/>
        </w:rPr>
      </w:pPr>
      <w:r w:rsidRPr="004B3083">
        <w:rPr>
          <w:rFonts w:ascii="Century Schoolbook" w:hAnsi="Century Schoolbook"/>
        </w:rPr>
        <w:t>14-269.4</w:t>
      </w:r>
      <w:r>
        <w:rPr>
          <w:rFonts w:ascii="Century Schoolbook" w:hAnsi="Century Schoolbook"/>
        </w:rPr>
        <w:t xml:space="preserve"> - </w:t>
      </w:r>
      <w:r w:rsidRPr="004B3083">
        <w:rPr>
          <w:rFonts w:ascii="Century Schoolbook" w:hAnsi="Century Schoolbook"/>
        </w:rPr>
        <w:t>Weapons on certain State property and in courthouses</w:t>
      </w:r>
      <w:r>
        <w:rPr>
          <w:rFonts w:ascii="Century Schoolbook" w:hAnsi="Century Schoolbook"/>
        </w:rPr>
        <w:t>;</w:t>
      </w:r>
    </w:p>
    <w:p w14:paraId="59D126D4" w14:textId="77777777" w:rsidR="00E74FA3" w:rsidRPr="00E74FA3" w:rsidRDefault="00E74FA3" w:rsidP="00E74FA3">
      <w:pPr>
        <w:spacing w:after="0" w:line="240" w:lineRule="auto"/>
        <w:rPr>
          <w:rFonts w:ascii="Century Schoolbook" w:hAnsi="Century Schoolbook"/>
        </w:rPr>
      </w:pPr>
    </w:p>
    <w:p w14:paraId="67892C8E" w14:textId="2AB49180" w:rsidR="004B3083" w:rsidRDefault="00306735" w:rsidP="006A39BF">
      <w:pPr>
        <w:pStyle w:val="ListParagraph"/>
        <w:numPr>
          <w:ilvl w:val="1"/>
          <w:numId w:val="11"/>
        </w:numPr>
        <w:spacing w:after="0" w:line="240" w:lineRule="auto"/>
        <w:rPr>
          <w:rFonts w:ascii="Century Schoolbook" w:hAnsi="Century Schoolbook"/>
        </w:rPr>
      </w:pPr>
      <w:r w:rsidRPr="00306735">
        <w:rPr>
          <w:rFonts w:ascii="Century Schoolbook" w:hAnsi="Century Schoolbook"/>
        </w:rPr>
        <w:t>14-269.6</w:t>
      </w:r>
      <w:r w:rsidR="00CE551C">
        <w:rPr>
          <w:rFonts w:ascii="Century Schoolbook" w:hAnsi="Century Schoolbook"/>
        </w:rPr>
        <w:t xml:space="preserve"> -</w:t>
      </w:r>
      <w:r w:rsidRPr="00306735">
        <w:rPr>
          <w:rFonts w:ascii="Century Schoolbook" w:hAnsi="Century Schoolbook"/>
        </w:rPr>
        <w:t xml:space="preserve"> Possession and sale of spring-loaded projectile knives prohibited</w:t>
      </w:r>
      <w:r>
        <w:rPr>
          <w:rFonts w:ascii="Century Schoolbook" w:hAnsi="Century Schoolbook"/>
        </w:rPr>
        <w:t>;</w:t>
      </w:r>
    </w:p>
    <w:p w14:paraId="59717AFC" w14:textId="77777777" w:rsidR="006A39BF" w:rsidRPr="006A39BF" w:rsidRDefault="006A39BF" w:rsidP="006A39BF">
      <w:pPr>
        <w:spacing w:after="0" w:line="240" w:lineRule="auto"/>
        <w:rPr>
          <w:rFonts w:ascii="Century Schoolbook" w:hAnsi="Century Schoolbook"/>
        </w:rPr>
      </w:pPr>
    </w:p>
    <w:p w14:paraId="3CA2DD92" w14:textId="6C2610B2" w:rsidR="00CE551C" w:rsidRDefault="00CE551C" w:rsidP="006A39BF">
      <w:pPr>
        <w:pStyle w:val="ListParagraph"/>
        <w:numPr>
          <w:ilvl w:val="1"/>
          <w:numId w:val="11"/>
        </w:numPr>
        <w:spacing w:after="0" w:line="240" w:lineRule="auto"/>
        <w:rPr>
          <w:rFonts w:ascii="Century Schoolbook" w:hAnsi="Century Schoolbook"/>
        </w:rPr>
      </w:pPr>
      <w:r w:rsidRPr="00CE551C">
        <w:rPr>
          <w:rFonts w:ascii="Century Schoolbook" w:hAnsi="Century Schoolbook"/>
        </w:rPr>
        <w:t>14-277</w:t>
      </w:r>
      <w:r>
        <w:rPr>
          <w:rFonts w:ascii="Century Schoolbook" w:hAnsi="Century Schoolbook"/>
        </w:rPr>
        <w:t xml:space="preserve"> -</w:t>
      </w:r>
      <w:r w:rsidRPr="00CE551C">
        <w:rPr>
          <w:rFonts w:ascii="Century Schoolbook" w:hAnsi="Century Schoolbook"/>
        </w:rPr>
        <w:t xml:space="preserve"> Impersonation of a law-enforcement or other public officer</w:t>
      </w:r>
      <w:r>
        <w:rPr>
          <w:rFonts w:ascii="Century Schoolbook" w:hAnsi="Century Schoolbook"/>
        </w:rPr>
        <w:t>;</w:t>
      </w:r>
    </w:p>
    <w:p w14:paraId="54B1E3F4" w14:textId="77777777" w:rsidR="006A39BF" w:rsidRPr="006A39BF" w:rsidRDefault="006A39BF" w:rsidP="006A39BF">
      <w:pPr>
        <w:spacing w:after="0" w:line="240" w:lineRule="auto"/>
        <w:rPr>
          <w:rFonts w:ascii="Century Schoolbook" w:hAnsi="Century Schoolbook"/>
        </w:rPr>
      </w:pPr>
    </w:p>
    <w:p w14:paraId="4FF1C10C" w14:textId="270AD8A5" w:rsidR="00CE551C" w:rsidRDefault="004968DB" w:rsidP="006A39BF">
      <w:pPr>
        <w:pStyle w:val="ListParagraph"/>
        <w:numPr>
          <w:ilvl w:val="1"/>
          <w:numId w:val="11"/>
        </w:numPr>
        <w:spacing w:after="0" w:line="240" w:lineRule="auto"/>
        <w:rPr>
          <w:rFonts w:ascii="Century Schoolbook" w:hAnsi="Century Schoolbook"/>
        </w:rPr>
      </w:pPr>
      <w:r w:rsidRPr="004968DB">
        <w:rPr>
          <w:rFonts w:ascii="Century Schoolbook" w:hAnsi="Century Schoolbook"/>
        </w:rPr>
        <w:t>14-277.1</w:t>
      </w:r>
      <w:r>
        <w:rPr>
          <w:rFonts w:ascii="Century Schoolbook" w:hAnsi="Century Schoolbook"/>
        </w:rPr>
        <w:t xml:space="preserve"> - </w:t>
      </w:r>
      <w:r w:rsidRPr="004968DB">
        <w:rPr>
          <w:rFonts w:ascii="Century Schoolbook" w:hAnsi="Century Schoolbook"/>
        </w:rPr>
        <w:t>Communicating threats</w:t>
      </w:r>
      <w:r>
        <w:rPr>
          <w:rFonts w:ascii="Century Schoolbook" w:hAnsi="Century Schoolbook"/>
        </w:rPr>
        <w:t>;</w:t>
      </w:r>
    </w:p>
    <w:p w14:paraId="3D85A41F" w14:textId="77777777" w:rsidR="006A39BF" w:rsidRPr="006A39BF" w:rsidRDefault="006A39BF" w:rsidP="006A39BF">
      <w:pPr>
        <w:spacing w:after="0" w:line="240" w:lineRule="auto"/>
        <w:rPr>
          <w:rFonts w:ascii="Century Schoolbook" w:hAnsi="Century Schoolbook"/>
        </w:rPr>
      </w:pPr>
    </w:p>
    <w:p w14:paraId="5A71226B" w14:textId="770B1392" w:rsidR="004968DB" w:rsidRDefault="00C366EF" w:rsidP="006A39BF">
      <w:pPr>
        <w:pStyle w:val="ListParagraph"/>
        <w:numPr>
          <w:ilvl w:val="1"/>
          <w:numId w:val="11"/>
        </w:numPr>
        <w:spacing w:after="0" w:line="240" w:lineRule="auto"/>
        <w:rPr>
          <w:rFonts w:ascii="Century Schoolbook" w:hAnsi="Century Schoolbook"/>
        </w:rPr>
      </w:pPr>
      <w:r w:rsidRPr="00C366EF">
        <w:rPr>
          <w:rFonts w:ascii="Century Schoolbook" w:hAnsi="Century Schoolbook"/>
        </w:rPr>
        <w:t>14-277.2</w:t>
      </w:r>
      <w:r>
        <w:rPr>
          <w:rFonts w:ascii="Century Schoolbook" w:hAnsi="Century Schoolbook"/>
        </w:rPr>
        <w:t xml:space="preserve"> - </w:t>
      </w:r>
      <w:r w:rsidRPr="00C366EF">
        <w:rPr>
          <w:rFonts w:ascii="Century Schoolbook" w:hAnsi="Century Schoolbook"/>
        </w:rPr>
        <w:t>Weapons at parades, etc., prohibited</w:t>
      </w:r>
      <w:r>
        <w:rPr>
          <w:rFonts w:ascii="Century Schoolbook" w:hAnsi="Century Schoolbook"/>
        </w:rPr>
        <w:t>;</w:t>
      </w:r>
    </w:p>
    <w:p w14:paraId="502B1A8C" w14:textId="77777777" w:rsidR="006A39BF" w:rsidRPr="006A39BF" w:rsidRDefault="006A39BF" w:rsidP="006A39BF">
      <w:pPr>
        <w:spacing w:after="0" w:line="240" w:lineRule="auto"/>
        <w:rPr>
          <w:rFonts w:ascii="Century Schoolbook" w:hAnsi="Century Schoolbook"/>
        </w:rPr>
      </w:pPr>
    </w:p>
    <w:p w14:paraId="7203F0C1" w14:textId="08E0A499" w:rsidR="00C366EF" w:rsidRDefault="00C366EF" w:rsidP="006A39BF">
      <w:pPr>
        <w:pStyle w:val="ListParagraph"/>
        <w:numPr>
          <w:ilvl w:val="1"/>
          <w:numId w:val="11"/>
        </w:numPr>
        <w:spacing w:after="0" w:line="240" w:lineRule="auto"/>
        <w:rPr>
          <w:rFonts w:ascii="Century Schoolbook" w:hAnsi="Century Schoolbook"/>
        </w:rPr>
      </w:pPr>
      <w:r w:rsidRPr="00C366EF">
        <w:rPr>
          <w:rFonts w:ascii="Century Schoolbook" w:hAnsi="Century Schoolbook"/>
        </w:rPr>
        <w:t>14-283</w:t>
      </w:r>
      <w:r>
        <w:rPr>
          <w:rFonts w:ascii="Century Schoolbook" w:hAnsi="Century Schoolbook"/>
        </w:rPr>
        <w:t xml:space="preserve"> - </w:t>
      </w:r>
      <w:r w:rsidRPr="00C366EF">
        <w:rPr>
          <w:rFonts w:ascii="Century Schoolbook" w:hAnsi="Century Schoolbook"/>
        </w:rPr>
        <w:t>Exploding dynamite cartridges and bombs</w:t>
      </w:r>
      <w:r w:rsidR="00D01245">
        <w:rPr>
          <w:rFonts w:ascii="Century Schoolbook" w:hAnsi="Century Schoolbook"/>
        </w:rPr>
        <w:t xml:space="preserve"> (</w:t>
      </w:r>
      <w:r w:rsidR="00D01245" w:rsidRPr="00D01245">
        <w:rPr>
          <w:rFonts w:ascii="Century Schoolbook" w:hAnsi="Century Schoolbook"/>
        </w:rPr>
        <w:t>except for a violation involving fireworks exempted under G.S. 14-414</w:t>
      </w:r>
      <w:r w:rsidR="00D01245">
        <w:rPr>
          <w:rFonts w:ascii="Century Schoolbook" w:hAnsi="Century Schoolbook"/>
        </w:rPr>
        <w:t>)</w:t>
      </w:r>
      <w:r>
        <w:rPr>
          <w:rFonts w:ascii="Century Schoolbook" w:hAnsi="Century Schoolbook"/>
        </w:rPr>
        <w:t>;</w:t>
      </w:r>
    </w:p>
    <w:p w14:paraId="01F09FF3" w14:textId="77777777" w:rsidR="006A39BF" w:rsidRPr="006A39BF" w:rsidRDefault="006A39BF" w:rsidP="006A39BF">
      <w:pPr>
        <w:spacing w:after="0" w:line="240" w:lineRule="auto"/>
        <w:rPr>
          <w:rFonts w:ascii="Century Schoolbook" w:hAnsi="Century Schoolbook"/>
        </w:rPr>
      </w:pPr>
    </w:p>
    <w:p w14:paraId="6C0CB89D" w14:textId="0AF73193" w:rsidR="00C366EF" w:rsidRDefault="000460E9" w:rsidP="006A39BF">
      <w:pPr>
        <w:pStyle w:val="ListParagraph"/>
        <w:numPr>
          <w:ilvl w:val="1"/>
          <w:numId w:val="11"/>
        </w:numPr>
        <w:spacing w:after="0" w:line="240" w:lineRule="auto"/>
        <w:rPr>
          <w:rFonts w:ascii="Century Schoolbook" w:hAnsi="Century Schoolbook"/>
        </w:rPr>
      </w:pPr>
      <w:r w:rsidRPr="000460E9">
        <w:rPr>
          <w:rFonts w:ascii="Century Schoolbook" w:hAnsi="Century Schoolbook"/>
        </w:rPr>
        <w:t>14-288.2</w:t>
      </w:r>
      <w:r>
        <w:rPr>
          <w:rFonts w:ascii="Century Schoolbook" w:hAnsi="Century Schoolbook"/>
        </w:rPr>
        <w:t xml:space="preserve"> - </w:t>
      </w:r>
      <w:r w:rsidRPr="000460E9">
        <w:rPr>
          <w:rFonts w:ascii="Century Schoolbook" w:hAnsi="Century Schoolbook"/>
        </w:rPr>
        <w:t>Riot; inciting to riot</w:t>
      </w:r>
      <w:r w:rsidR="005C4553">
        <w:rPr>
          <w:rFonts w:ascii="Century Schoolbook" w:hAnsi="Century Schoolbook"/>
        </w:rPr>
        <w:t>;</w:t>
      </w:r>
    </w:p>
    <w:p w14:paraId="14B15DDB" w14:textId="77777777" w:rsidR="006A39BF" w:rsidRPr="006A39BF" w:rsidRDefault="006A39BF" w:rsidP="006A39BF">
      <w:pPr>
        <w:spacing w:after="0" w:line="240" w:lineRule="auto"/>
        <w:rPr>
          <w:rFonts w:ascii="Century Schoolbook" w:hAnsi="Century Schoolbook"/>
        </w:rPr>
      </w:pPr>
    </w:p>
    <w:p w14:paraId="2C75A9AF" w14:textId="04CC59FF" w:rsidR="000460E9" w:rsidRDefault="005C4553" w:rsidP="006A39BF">
      <w:pPr>
        <w:pStyle w:val="ListParagraph"/>
        <w:numPr>
          <w:ilvl w:val="1"/>
          <w:numId w:val="11"/>
        </w:numPr>
        <w:spacing w:after="0" w:line="240" w:lineRule="auto"/>
        <w:rPr>
          <w:rFonts w:ascii="Century Schoolbook" w:hAnsi="Century Schoolbook"/>
        </w:rPr>
      </w:pPr>
      <w:r w:rsidRPr="005C4553">
        <w:rPr>
          <w:rFonts w:ascii="Century Schoolbook" w:hAnsi="Century Schoolbook"/>
        </w:rPr>
        <w:t>14-288.4</w:t>
      </w:r>
      <w:r w:rsidR="00BC3C38">
        <w:rPr>
          <w:rFonts w:ascii="Century Schoolbook" w:hAnsi="Century Schoolbook"/>
        </w:rPr>
        <w:t>(a)(1)</w:t>
      </w:r>
      <w:r>
        <w:rPr>
          <w:rFonts w:ascii="Century Schoolbook" w:hAnsi="Century Schoolbook"/>
        </w:rPr>
        <w:t xml:space="preserve"> - </w:t>
      </w:r>
      <w:r w:rsidRPr="005C4553">
        <w:rPr>
          <w:rFonts w:ascii="Century Schoolbook" w:hAnsi="Century Schoolbook"/>
        </w:rPr>
        <w:t>Disorderly conduct</w:t>
      </w:r>
      <w:r>
        <w:rPr>
          <w:rFonts w:ascii="Century Schoolbook" w:hAnsi="Century Schoolbook"/>
        </w:rPr>
        <w:t>;</w:t>
      </w:r>
    </w:p>
    <w:p w14:paraId="28B6A233" w14:textId="77777777" w:rsidR="006A39BF" w:rsidRPr="006A39BF" w:rsidRDefault="006A39BF" w:rsidP="006A39BF">
      <w:pPr>
        <w:spacing w:after="0" w:line="240" w:lineRule="auto"/>
        <w:rPr>
          <w:rFonts w:ascii="Century Schoolbook" w:hAnsi="Century Schoolbook"/>
        </w:rPr>
      </w:pPr>
    </w:p>
    <w:p w14:paraId="2CD465BF" w14:textId="29C8468A" w:rsidR="005C4553" w:rsidRDefault="00407BA1" w:rsidP="006A39BF">
      <w:pPr>
        <w:pStyle w:val="ListParagraph"/>
        <w:numPr>
          <w:ilvl w:val="1"/>
          <w:numId w:val="11"/>
        </w:numPr>
        <w:spacing w:after="0" w:line="240" w:lineRule="auto"/>
        <w:rPr>
          <w:rFonts w:ascii="Century Schoolbook" w:hAnsi="Century Schoolbook"/>
        </w:rPr>
      </w:pPr>
      <w:r w:rsidRPr="00407BA1">
        <w:rPr>
          <w:rFonts w:ascii="Century Schoolbook" w:hAnsi="Century Schoolbook"/>
        </w:rPr>
        <w:t>14-288.6</w:t>
      </w:r>
      <w:r>
        <w:rPr>
          <w:rFonts w:ascii="Century Schoolbook" w:hAnsi="Century Schoolbook"/>
        </w:rPr>
        <w:t xml:space="preserve"> - </w:t>
      </w:r>
      <w:r w:rsidRPr="00407BA1">
        <w:rPr>
          <w:rFonts w:ascii="Century Schoolbook" w:hAnsi="Century Schoolbook"/>
        </w:rPr>
        <w:t>Looting; trespass during emergency</w:t>
      </w:r>
      <w:r>
        <w:rPr>
          <w:rFonts w:ascii="Century Schoolbook" w:hAnsi="Century Schoolbook"/>
        </w:rPr>
        <w:t>;</w:t>
      </w:r>
    </w:p>
    <w:p w14:paraId="0AA656C9" w14:textId="77777777" w:rsidR="006A39BF" w:rsidRPr="006A39BF" w:rsidRDefault="006A39BF" w:rsidP="006A39BF">
      <w:pPr>
        <w:spacing w:after="0" w:line="240" w:lineRule="auto"/>
        <w:rPr>
          <w:rFonts w:ascii="Century Schoolbook" w:hAnsi="Century Schoolbook"/>
        </w:rPr>
      </w:pPr>
    </w:p>
    <w:p w14:paraId="50FEA0AC" w14:textId="0ABF8426" w:rsidR="00407BA1" w:rsidRDefault="001E1794" w:rsidP="006A39BF">
      <w:pPr>
        <w:pStyle w:val="ListParagraph"/>
        <w:numPr>
          <w:ilvl w:val="1"/>
          <w:numId w:val="11"/>
        </w:numPr>
        <w:spacing w:after="0" w:line="240" w:lineRule="auto"/>
        <w:rPr>
          <w:rFonts w:ascii="Century Schoolbook" w:hAnsi="Century Schoolbook"/>
        </w:rPr>
      </w:pPr>
      <w:r w:rsidRPr="001E1794">
        <w:rPr>
          <w:rFonts w:ascii="Century Schoolbook" w:hAnsi="Century Schoolbook"/>
        </w:rPr>
        <w:t>14-288.9</w:t>
      </w:r>
      <w:r>
        <w:rPr>
          <w:rFonts w:ascii="Century Schoolbook" w:hAnsi="Century Schoolbook"/>
        </w:rPr>
        <w:t xml:space="preserve"> - </w:t>
      </w:r>
      <w:r w:rsidRPr="001E1794">
        <w:rPr>
          <w:rFonts w:ascii="Century Schoolbook" w:hAnsi="Century Schoolbook"/>
        </w:rPr>
        <w:t>Assault upon emergency personnel</w:t>
      </w:r>
      <w:r>
        <w:rPr>
          <w:rFonts w:ascii="Century Schoolbook" w:hAnsi="Century Schoolbook"/>
        </w:rPr>
        <w:t>;</w:t>
      </w:r>
    </w:p>
    <w:p w14:paraId="70C2171F" w14:textId="77777777" w:rsidR="006A39BF" w:rsidRPr="006A39BF" w:rsidRDefault="006A39BF" w:rsidP="006A39BF">
      <w:pPr>
        <w:spacing w:after="0" w:line="240" w:lineRule="auto"/>
        <w:rPr>
          <w:rFonts w:ascii="Century Schoolbook" w:hAnsi="Century Schoolbook"/>
        </w:rPr>
      </w:pPr>
    </w:p>
    <w:p w14:paraId="27C9BE25" w14:textId="3EEAC4A0" w:rsidR="006C406D" w:rsidRDefault="006C406D" w:rsidP="006A39BF">
      <w:pPr>
        <w:pStyle w:val="ListParagraph"/>
        <w:numPr>
          <w:ilvl w:val="1"/>
          <w:numId w:val="11"/>
        </w:numPr>
        <w:spacing w:after="0" w:line="240" w:lineRule="auto"/>
        <w:rPr>
          <w:rFonts w:ascii="Century Schoolbook" w:hAnsi="Century Schoolbook"/>
        </w:rPr>
      </w:pPr>
      <w:r>
        <w:rPr>
          <w:rFonts w:ascii="Century Schoolbook" w:hAnsi="Century Schoolbook"/>
        </w:rPr>
        <w:t xml:space="preserve">Former </w:t>
      </w:r>
      <w:r w:rsidRPr="006C406D">
        <w:rPr>
          <w:rFonts w:ascii="Century Schoolbook" w:hAnsi="Century Schoolbook"/>
        </w:rPr>
        <w:t>14-288.12</w:t>
      </w:r>
      <w:r>
        <w:rPr>
          <w:rFonts w:ascii="Century Schoolbook" w:hAnsi="Century Schoolbook"/>
        </w:rPr>
        <w:t xml:space="preserve"> - </w:t>
      </w:r>
      <w:r w:rsidR="009B0F0B" w:rsidRPr="009B0F0B">
        <w:rPr>
          <w:rFonts w:ascii="Century Schoolbook" w:hAnsi="Century Schoolbook"/>
        </w:rPr>
        <w:t>Powers of municipalities to enact ordinances to deal with states of emergency</w:t>
      </w:r>
      <w:r w:rsidR="009B0F0B">
        <w:rPr>
          <w:rFonts w:ascii="Century Schoolbook" w:hAnsi="Century Schoolbook"/>
        </w:rPr>
        <w:t>;</w:t>
      </w:r>
    </w:p>
    <w:p w14:paraId="6C4179C5" w14:textId="77777777" w:rsidR="006A39BF" w:rsidRPr="006A39BF" w:rsidRDefault="006A39BF" w:rsidP="006A39BF">
      <w:pPr>
        <w:spacing w:after="0" w:line="240" w:lineRule="auto"/>
        <w:rPr>
          <w:rFonts w:ascii="Century Schoolbook" w:hAnsi="Century Schoolbook"/>
        </w:rPr>
      </w:pPr>
    </w:p>
    <w:p w14:paraId="73813568" w14:textId="6EBB9A19" w:rsidR="009B0F0B" w:rsidRDefault="00321B69" w:rsidP="006A39BF">
      <w:pPr>
        <w:pStyle w:val="ListParagraph"/>
        <w:numPr>
          <w:ilvl w:val="1"/>
          <w:numId w:val="11"/>
        </w:numPr>
        <w:spacing w:after="0" w:line="240" w:lineRule="auto"/>
        <w:rPr>
          <w:rFonts w:ascii="Century Schoolbook" w:hAnsi="Century Schoolbook"/>
        </w:rPr>
      </w:pPr>
      <w:r w:rsidRPr="00321B69">
        <w:rPr>
          <w:rFonts w:ascii="Century Schoolbook" w:hAnsi="Century Schoolbook"/>
        </w:rPr>
        <w:t>Former 14-288.1</w:t>
      </w:r>
      <w:r>
        <w:rPr>
          <w:rFonts w:ascii="Century Schoolbook" w:hAnsi="Century Schoolbook"/>
        </w:rPr>
        <w:t xml:space="preserve">3 - </w:t>
      </w:r>
      <w:r w:rsidR="00820867" w:rsidRPr="00820867">
        <w:rPr>
          <w:rFonts w:ascii="Century Schoolbook" w:hAnsi="Century Schoolbook"/>
        </w:rPr>
        <w:t>Powers of counties to enact ordinances to deal with states of emergency</w:t>
      </w:r>
      <w:r w:rsidR="00820867">
        <w:rPr>
          <w:rFonts w:ascii="Century Schoolbook" w:hAnsi="Century Schoolbook"/>
        </w:rPr>
        <w:t>;</w:t>
      </w:r>
    </w:p>
    <w:p w14:paraId="64935DF0" w14:textId="77777777" w:rsidR="006A39BF" w:rsidRPr="006A39BF" w:rsidRDefault="006A39BF" w:rsidP="006A39BF">
      <w:pPr>
        <w:spacing w:after="0" w:line="240" w:lineRule="auto"/>
        <w:rPr>
          <w:rFonts w:ascii="Century Schoolbook" w:hAnsi="Century Schoolbook"/>
        </w:rPr>
      </w:pPr>
    </w:p>
    <w:p w14:paraId="4279E6CE" w14:textId="019924EF" w:rsidR="00820867" w:rsidRDefault="00652EC7" w:rsidP="006A39BF">
      <w:pPr>
        <w:pStyle w:val="ListParagraph"/>
        <w:numPr>
          <w:ilvl w:val="1"/>
          <w:numId w:val="11"/>
        </w:numPr>
        <w:spacing w:after="0" w:line="240" w:lineRule="auto"/>
        <w:rPr>
          <w:rFonts w:ascii="Century Schoolbook" w:hAnsi="Century Schoolbook"/>
        </w:rPr>
      </w:pPr>
      <w:r w:rsidRPr="00652EC7">
        <w:rPr>
          <w:rFonts w:ascii="Century Schoolbook" w:hAnsi="Century Schoolbook"/>
        </w:rPr>
        <w:t>Former 14-288.1</w:t>
      </w:r>
      <w:r>
        <w:rPr>
          <w:rFonts w:ascii="Century Schoolbook" w:hAnsi="Century Schoolbook"/>
        </w:rPr>
        <w:t>4</w:t>
      </w:r>
      <w:r w:rsidRPr="00652EC7">
        <w:rPr>
          <w:rFonts w:ascii="Century Schoolbook" w:hAnsi="Century Schoolbook"/>
        </w:rPr>
        <w:t xml:space="preserve"> Power of chairman of board of county commissioners to extend emergency restrictions imposed in municipality</w:t>
      </w:r>
      <w:r>
        <w:rPr>
          <w:rFonts w:ascii="Century Schoolbook" w:hAnsi="Century Schoolbook"/>
        </w:rPr>
        <w:t>;</w:t>
      </w:r>
    </w:p>
    <w:p w14:paraId="2E5B71AA" w14:textId="77777777" w:rsidR="006A39BF" w:rsidRPr="006A39BF" w:rsidRDefault="006A39BF" w:rsidP="006A39BF">
      <w:pPr>
        <w:spacing w:after="0" w:line="240" w:lineRule="auto"/>
        <w:rPr>
          <w:rFonts w:ascii="Century Schoolbook" w:hAnsi="Century Schoolbook"/>
        </w:rPr>
      </w:pPr>
    </w:p>
    <w:p w14:paraId="5B9A79B9" w14:textId="5F85F8FE" w:rsidR="00652EC7" w:rsidRDefault="0026739A" w:rsidP="006A39BF">
      <w:pPr>
        <w:pStyle w:val="ListParagraph"/>
        <w:numPr>
          <w:ilvl w:val="1"/>
          <w:numId w:val="11"/>
        </w:numPr>
        <w:spacing w:after="0" w:line="240" w:lineRule="auto"/>
        <w:rPr>
          <w:rFonts w:ascii="Century Schoolbook" w:hAnsi="Century Schoolbook"/>
        </w:rPr>
      </w:pPr>
      <w:r w:rsidRPr="0026739A">
        <w:rPr>
          <w:rFonts w:ascii="Century Schoolbook" w:hAnsi="Century Schoolbook"/>
        </w:rPr>
        <w:t>14-415.21</w:t>
      </w:r>
      <w:r>
        <w:rPr>
          <w:rFonts w:ascii="Century Schoolbook" w:hAnsi="Century Schoolbook"/>
        </w:rPr>
        <w:t xml:space="preserve"> - </w:t>
      </w:r>
      <w:r w:rsidRPr="0026739A">
        <w:rPr>
          <w:rFonts w:ascii="Century Schoolbook" w:hAnsi="Century Schoolbook"/>
        </w:rPr>
        <w:t xml:space="preserve">Violations of </w:t>
      </w:r>
      <w:r w:rsidR="004E5938">
        <w:rPr>
          <w:rFonts w:ascii="Century Schoolbook" w:hAnsi="Century Schoolbook"/>
        </w:rPr>
        <w:t>c</w:t>
      </w:r>
      <w:r>
        <w:rPr>
          <w:rFonts w:ascii="Century Schoolbook" w:hAnsi="Century Schoolbook"/>
        </w:rPr>
        <w:t xml:space="preserve">oncealed </w:t>
      </w:r>
      <w:r w:rsidR="004E5938">
        <w:rPr>
          <w:rFonts w:ascii="Century Schoolbook" w:hAnsi="Century Schoolbook"/>
        </w:rPr>
        <w:t>c</w:t>
      </w:r>
      <w:r w:rsidR="00BC67F2">
        <w:rPr>
          <w:rFonts w:ascii="Century Schoolbook" w:hAnsi="Century Schoolbook"/>
        </w:rPr>
        <w:t xml:space="preserve">arry </w:t>
      </w:r>
      <w:r w:rsidR="004E5938">
        <w:rPr>
          <w:rFonts w:ascii="Century Schoolbook" w:hAnsi="Century Schoolbook"/>
        </w:rPr>
        <w:t>laws;</w:t>
      </w:r>
    </w:p>
    <w:p w14:paraId="7455FE8A" w14:textId="77777777" w:rsidR="006A39BF" w:rsidRPr="006A39BF" w:rsidRDefault="006A39BF" w:rsidP="006A39BF">
      <w:pPr>
        <w:spacing w:after="0" w:line="240" w:lineRule="auto"/>
        <w:rPr>
          <w:rFonts w:ascii="Century Schoolbook" w:hAnsi="Century Schoolbook"/>
        </w:rPr>
      </w:pPr>
    </w:p>
    <w:p w14:paraId="59BA35D0" w14:textId="77777777" w:rsidR="00F93D04" w:rsidRDefault="008D3693" w:rsidP="006A39BF">
      <w:pPr>
        <w:pStyle w:val="ListParagraph"/>
        <w:numPr>
          <w:ilvl w:val="1"/>
          <w:numId w:val="11"/>
        </w:numPr>
        <w:spacing w:after="0" w:line="240" w:lineRule="auto"/>
        <w:rPr>
          <w:rFonts w:ascii="Century Schoolbook" w:hAnsi="Century Schoolbook"/>
        </w:rPr>
      </w:pPr>
      <w:r w:rsidRPr="008D3693">
        <w:rPr>
          <w:rFonts w:ascii="Century Schoolbook" w:hAnsi="Century Schoolbook"/>
        </w:rPr>
        <w:t>14-415.26</w:t>
      </w:r>
      <w:r>
        <w:rPr>
          <w:rFonts w:ascii="Century Schoolbook" w:hAnsi="Century Schoolbook"/>
        </w:rPr>
        <w:t xml:space="preserve">(d) – Willful </w:t>
      </w:r>
      <w:r w:rsidR="004E5938">
        <w:rPr>
          <w:rFonts w:ascii="Century Schoolbook" w:hAnsi="Century Schoolbook"/>
        </w:rPr>
        <w:t xml:space="preserve">or intentional misrepresentation on </w:t>
      </w:r>
      <w:r w:rsidR="00E81B54">
        <w:rPr>
          <w:rFonts w:ascii="Century Schoolbook" w:hAnsi="Century Schoolbook"/>
        </w:rPr>
        <w:t>application for certification of qualified retired law enforcement officers;</w:t>
      </w:r>
    </w:p>
    <w:p w14:paraId="72CCD4BC" w14:textId="77777777" w:rsidR="006A39BF" w:rsidRPr="006A39BF" w:rsidRDefault="006A39BF" w:rsidP="006A39BF">
      <w:pPr>
        <w:spacing w:after="0" w:line="240" w:lineRule="auto"/>
        <w:rPr>
          <w:rFonts w:ascii="Century Schoolbook" w:hAnsi="Century Schoolbook"/>
        </w:rPr>
      </w:pPr>
    </w:p>
    <w:p w14:paraId="096C94B0" w14:textId="236FA150" w:rsidR="00AE2CF9" w:rsidRDefault="00E81B54" w:rsidP="006A39BF">
      <w:pPr>
        <w:pStyle w:val="ListParagraph"/>
        <w:numPr>
          <w:ilvl w:val="1"/>
          <w:numId w:val="11"/>
        </w:numPr>
        <w:spacing w:after="0" w:line="240" w:lineRule="auto"/>
        <w:rPr>
          <w:rFonts w:ascii="Century Schoolbook" w:hAnsi="Century Schoolbook"/>
        </w:rPr>
      </w:pPr>
      <w:r w:rsidRPr="00F93D04">
        <w:rPr>
          <w:rFonts w:ascii="Century Schoolbook" w:hAnsi="Century Schoolbook"/>
          <w:b/>
          <w:bCs/>
        </w:rPr>
        <w:t>***IMPORTANT NOTE***</w:t>
      </w:r>
      <w:r w:rsidR="00F93D04" w:rsidRPr="00F93D04">
        <w:t xml:space="preserve"> </w:t>
      </w:r>
      <w:r w:rsidR="00F93D04" w:rsidRPr="00C228E7">
        <w:rPr>
          <w:rFonts w:ascii="Century Schoolbook" w:hAnsi="Century Schoolbook"/>
        </w:rPr>
        <w:t>The offenses listed above only disqualify an applicant for three years</w:t>
      </w:r>
      <w:r w:rsidR="0079615A">
        <w:rPr>
          <w:rFonts w:ascii="Century Schoolbook" w:hAnsi="Century Schoolbook"/>
        </w:rPr>
        <w:t>.</w:t>
      </w:r>
    </w:p>
    <w:p w14:paraId="7C038702" w14:textId="77777777" w:rsidR="006A39BF" w:rsidRPr="006A39BF" w:rsidRDefault="006A39BF" w:rsidP="006A39BF">
      <w:pPr>
        <w:spacing w:after="0" w:line="240" w:lineRule="auto"/>
        <w:rPr>
          <w:rFonts w:ascii="Century Schoolbook" w:hAnsi="Century Schoolbook"/>
        </w:rPr>
      </w:pPr>
    </w:p>
    <w:p w14:paraId="27B6DEAE" w14:textId="42FA2AD6" w:rsidR="00C228E7" w:rsidRDefault="003F06E2" w:rsidP="006A39BF">
      <w:pPr>
        <w:pStyle w:val="ListParagraph"/>
        <w:numPr>
          <w:ilvl w:val="0"/>
          <w:numId w:val="11"/>
        </w:numPr>
        <w:spacing w:after="0" w:line="240" w:lineRule="auto"/>
        <w:rPr>
          <w:rFonts w:ascii="Century Schoolbook" w:hAnsi="Century Schoolbook"/>
        </w:rPr>
      </w:pPr>
      <w:r w:rsidRPr="003F06E2">
        <w:rPr>
          <w:rFonts w:ascii="Century Schoolbook" w:hAnsi="Century Schoolbook"/>
        </w:rPr>
        <w:t>G.S. 14-415.12(b)(</w:t>
      </w:r>
      <w:r w:rsidR="00683ABC">
        <w:rPr>
          <w:rFonts w:ascii="Century Schoolbook" w:hAnsi="Century Schoolbook"/>
        </w:rPr>
        <w:t>8a</w:t>
      </w:r>
      <w:r w:rsidRPr="003F06E2">
        <w:rPr>
          <w:rFonts w:ascii="Century Schoolbook" w:hAnsi="Century Schoolbook"/>
        </w:rPr>
        <w:t>) prohibits the issuance of a permit to an individual who is</w:t>
      </w:r>
      <w:r w:rsidR="00683ABC" w:rsidRPr="00683ABC">
        <w:t xml:space="preserve"> </w:t>
      </w:r>
      <w:r w:rsidR="00683ABC" w:rsidRPr="00683ABC">
        <w:rPr>
          <w:rFonts w:ascii="Century Schoolbook" w:hAnsi="Century Schoolbook"/>
        </w:rPr>
        <w:t>or has been adjudicated guilty of or received a prayer for judgment continued or suspended sentence for one or more crimes of violence constituting a misdemeanor under</w:t>
      </w:r>
      <w:r w:rsidR="00683ABC">
        <w:rPr>
          <w:rFonts w:ascii="Century Schoolbook" w:hAnsi="Century Schoolbook"/>
        </w:rPr>
        <w:t>:</w:t>
      </w:r>
    </w:p>
    <w:p w14:paraId="532BB023" w14:textId="77777777" w:rsidR="006A39BF" w:rsidRDefault="006A39BF" w:rsidP="006A39BF">
      <w:pPr>
        <w:pStyle w:val="ListParagraph"/>
        <w:spacing w:after="0" w:line="240" w:lineRule="auto"/>
        <w:rPr>
          <w:rFonts w:ascii="Century Schoolbook" w:hAnsi="Century Schoolbook"/>
        </w:rPr>
      </w:pPr>
    </w:p>
    <w:p w14:paraId="4472AB67" w14:textId="5B12A6A5" w:rsidR="00683ABC" w:rsidRDefault="00BD58D9" w:rsidP="006A39BF">
      <w:pPr>
        <w:pStyle w:val="ListParagraph"/>
        <w:numPr>
          <w:ilvl w:val="1"/>
          <w:numId w:val="11"/>
        </w:numPr>
        <w:spacing w:after="0" w:line="240" w:lineRule="auto"/>
        <w:rPr>
          <w:rFonts w:ascii="Century Schoolbook" w:hAnsi="Century Schoolbook"/>
        </w:rPr>
      </w:pPr>
      <w:r w:rsidRPr="00BD58D9">
        <w:rPr>
          <w:rFonts w:ascii="Century Schoolbook" w:hAnsi="Century Schoolbook"/>
        </w:rPr>
        <w:t>14-32.5</w:t>
      </w:r>
      <w:r>
        <w:rPr>
          <w:rFonts w:ascii="Century Schoolbook" w:hAnsi="Century Schoolbook"/>
        </w:rPr>
        <w:t xml:space="preserve"> - </w:t>
      </w:r>
      <w:r w:rsidRPr="00BD58D9">
        <w:rPr>
          <w:rFonts w:ascii="Century Schoolbook" w:hAnsi="Century Schoolbook"/>
        </w:rPr>
        <w:t>Misdemeanor crime of domestic violence</w:t>
      </w:r>
      <w:r w:rsidR="00B95E3F">
        <w:rPr>
          <w:rFonts w:ascii="Century Schoolbook" w:hAnsi="Century Schoolbook"/>
        </w:rPr>
        <w:t>;</w:t>
      </w:r>
    </w:p>
    <w:p w14:paraId="02957251" w14:textId="77777777" w:rsidR="006A39BF" w:rsidRDefault="006A39BF" w:rsidP="006A39BF">
      <w:pPr>
        <w:pStyle w:val="ListParagraph"/>
        <w:spacing w:after="0" w:line="240" w:lineRule="auto"/>
        <w:ind w:left="1440"/>
        <w:rPr>
          <w:rFonts w:ascii="Century Schoolbook" w:hAnsi="Century Schoolbook"/>
        </w:rPr>
      </w:pPr>
    </w:p>
    <w:p w14:paraId="2BE6C68E" w14:textId="7361EF4F" w:rsidR="00B95E3F" w:rsidRDefault="00B95E3F" w:rsidP="006A39BF">
      <w:pPr>
        <w:pStyle w:val="ListParagraph"/>
        <w:numPr>
          <w:ilvl w:val="1"/>
          <w:numId w:val="11"/>
        </w:numPr>
        <w:spacing w:after="0" w:line="240" w:lineRule="auto"/>
        <w:rPr>
          <w:rFonts w:ascii="Century Schoolbook" w:hAnsi="Century Schoolbook"/>
        </w:rPr>
      </w:pPr>
      <w:r w:rsidRPr="00B95E3F">
        <w:rPr>
          <w:rFonts w:ascii="Century Schoolbook" w:hAnsi="Century Schoolbook"/>
        </w:rPr>
        <w:t>14-33</w:t>
      </w:r>
      <w:r>
        <w:rPr>
          <w:rFonts w:ascii="Century Schoolbook" w:hAnsi="Century Schoolbook"/>
        </w:rPr>
        <w:t>(c)(1)</w:t>
      </w:r>
      <w:r w:rsidR="00CA1C5E">
        <w:rPr>
          <w:rFonts w:ascii="Century Schoolbook" w:hAnsi="Century Schoolbook"/>
        </w:rPr>
        <w:t xml:space="preserve"> - Assault with a deadly weapon;</w:t>
      </w:r>
    </w:p>
    <w:p w14:paraId="0D710FFC" w14:textId="77777777" w:rsidR="006A39BF" w:rsidRPr="006A39BF" w:rsidRDefault="006A39BF" w:rsidP="006A39BF">
      <w:pPr>
        <w:spacing w:after="0" w:line="240" w:lineRule="auto"/>
        <w:rPr>
          <w:rFonts w:ascii="Century Schoolbook" w:hAnsi="Century Schoolbook"/>
        </w:rPr>
      </w:pPr>
    </w:p>
    <w:p w14:paraId="31BE3B21" w14:textId="7ADF6DB2" w:rsidR="00CA1C5E" w:rsidRDefault="00CA1C5E" w:rsidP="006A39BF">
      <w:pPr>
        <w:pStyle w:val="ListParagraph"/>
        <w:numPr>
          <w:ilvl w:val="1"/>
          <w:numId w:val="11"/>
        </w:numPr>
        <w:spacing w:after="0" w:line="240" w:lineRule="auto"/>
        <w:rPr>
          <w:rFonts w:ascii="Century Schoolbook" w:hAnsi="Century Schoolbook"/>
        </w:rPr>
      </w:pPr>
      <w:r w:rsidRPr="00CA1C5E">
        <w:rPr>
          <w:rFonts w:ascii="Century Schoolbook" w:hAnsi="Century Schoolbook"/>
        </w:rPr>
        <w:t>14-33(c)(</w:t>
      </w:r>
      <w:r>
        <w:rPr>
          <w:rFonts w:ascii="Century Schoolbook" w:hAnsi="Century Schoolbook"/>
        </w:rPr>
        <w:t>2</w:t>
      </w:r>
      <w:r w:rsidRPr="00CA1C5E">
        <w:rPr>
          <w:rFonts w:ascii="Century Schoolbook" w:hAnsi="Century Schoolbook"/>
        </w:rPr>
        <w:t>)</w:t>
      </w:r>
      <w:r w:rsidR="00E33977">
        <w:rPr>
          <w:rFonts w:ascii="Century Schoolbook" w:hAnsi="Century Schoolbook"/>
        </w:rPr>
        <w:t xml:space="preserve"> - Assault on a female;</w:t>
      </w:r>
    </w:p>
    <w:p w14:paraId="35FBD498" w14:textId="77777777" w:rsidR="006A39BF" w:rsidRPr="006A39BF" w:rsidRDefault="006A39BF" w:rsidP="006A39BF">
      <w:pPr>
        <w:spacing w:after="0" w:line="240" w:lineRule="auto"/>
        <w:rPr>
          <w:rFonts w:ascii="Century Schoolbook" w:hAnsi="Century Schoolbook"/>
        </w:rPr>
      </w:pPr>
    </w:p>
    <w:p w14:paraId="276C2470" w14:textId="5F683D72" w:rsidR="00E33977" w:rsidRDefault="00E33977" w:rsidP="006A39BF">
      <w:pPr>
        <w:pStyle w:val="ListParagraph"/>
        <w:numPr>
          <w:ilvl w:val="1"/>
          <w:numId w:val="11"/>
        </w:numPr>
        <w:spacing w:after="0" w:line="240" w:lineRule="auto"/>
        <w:rPr>
          <w:rFonts w:ascii="Century Schoolbook" w:hAnsi="Century Schoolbook"/>
        </w:rPr>
      </w:pPr>
      <w:r w:rsidRPr="00E33977">
        <w:rPr>
          <w:rFonts w:ascii="Century Schoolbook" w:hAnsi="Century Schoolbook"/>
        </w:rPr>
        <w:t>14-33(c)(</w:t>
      </w:r>
      <w:r>
        <w:rPr>
          <w:rFonts w:ascii="Century Schoolbook" w:hAnsi="Century Schoolbook"/>
        </w:rPr>
        <w:t>3</w:t>
      </w:r>
      <w:r w:rsidRPr="00E33977">
        <w:rPr>
          <w:rFonts w:ascii="Century Schoolbook" w:hAnsi="Century Schoolbook"/>
        </w:rPr>
        <w:t>)</w:t>
      </w:r>
      <w:r w:rsidR="00DF5080">
        <w:rPr>
          <w:rFonts w:ascii="Century Schoolbook" w:hAnsi="Century Schoolbook"/>
        </w:rPr>
        <w:t xml:space="preserve"> - </w:t>
      </w:r>
      <w:r w:rsidR="00836EDA">
        <w:rPr>
          <w:rFonts w:ascii="Century Schoolbook" w:hAnsi="Century Schoolbook"/>
        </w:rPr>
        <w:t>Assault on a child under 12;</w:t>
      </w:r>
    </w:p>
    <w:p w14:paraId="5FB1674D" w14:textId="77777777" w:rsidR="006A39BF" w:rsidRPr="006A39BF" w:rsidRDefault="006A39BF" w:rsidP="006A39BF">
      <w:pPr>
        <w:spacing w:after="0" w:line="240" w:lineRule="auto"/>
        <w:rPr>
          <w:rFonts w:ascii="Century Schoolbook" w:hAnsi="Century Schoolbook"/>
        </w:rPr>
      </w:pPr>
    </w:p>
    <w:p w14:paraId="2C290C3D" w14:textId="5D8D715D" w:rsidR="00836EDA" w:rsidRDefault="00836EDA" w:rsidP="006A39BF">
      <w:pPr>
        <w:pStyle w:val="ListParagraph"/>
        <w:numPr>
          <w:ilvl w:val="1"/>
          <w:numId w:val="11"/>
        </w:numPr>
        <w:spacing w:after="0" w:line="240" w:lineRule="auto"/>
        <w:rPr>
          <w:rFonts w:ascii="Century Schoolbook" w:hAnsi="Century Schoolbook"/>
        </w:rPr>
      </w:pPr>
      <w:r>
        <w:rPr>
          <w:rFonts w:ascii="Century Schoolbook" w:hAnsi="Century Schoolbook"/>
        </w:rPr>
        <w:t>14-33(d)</w:t>
      </w:r>
      <w:r w:rsidR="00DF5080">
        <w:rPr>
          <w:rFonts w:ascii="Century Schoolbook" w:hAnsi="Century Schoolbook"/>
        </w:rPr>
        <w:t xml:space="preserve"> - Assault inflicting serious injury;</w:t>
      </w:r>
    </w:p>
    <w:p w14:paraId="5411F9B2" w14:textId="77777777" w:rsidR="006A39BF" w:rsidRPr="006A39BF" w:rsidRDefault="006A39BF" w:rsidP="006A39BF">
      <w:pPr>
        <w:spacing w:after="0" w:line="240" w:lineRule="auto"/>
        <w:rPr>
          <w:rFonts w:ascii="Century Schoolbook" w:hAnsi="Century Schoolbook"/>
        </w:rPr>
      </w:pPr>
    </w:p>
    <w:p w14:paraId="36B05313" w14:textId="5904CBCC" w:rsidR="00DF5080" w:rsidRDefault="00DF5080" w:rsidP="006A39BF">
      <w:pPr>
        <w:pStyle w:val="ListParagraph"/>
        <w:numPr>
          <w:ilvl w:val="1"/>
          <w:numId w:val="11"/>
        </w:numPr>
        <w:spacing w:after="0" w:line="240" w:lineRule="auto"/>
        <w:rPr>
          <w:rFonts w:ascii="Century Schoolbook" w:hAnsi="Century Schoolbook"/>
        </w:rPr>
      </w:pPr>
      <w:r w:rsidRPr="00DF5080">
        <w:rPr>
          <w:rFonts w:ascii="Century Schoolbook" w:hAnsi="Century Schoolbook"/>
        </w:rPr>
        <w:t>14-277.3A</w:t>
      </w:r>
      <w:r>
        <w:rPr>
          <w:rFonts w:ascii="Century Schoolbook" w:hAnsi="Century Schoolbook"/>
        </w:rPr>
        <w:t xml:space="preserve"> - </w:t>
      </w:r>
      <w:r w:rsidRPr="00DF5080">
        <w:rPr>
          <w:rFonts w:ascii="Century Schoolbook" w:hAnsi="Century Schoolbook"/>
        </w:rPr>
        <w:t>Stalking</w:t>
      </w:r>
      <w:r>
        <w:rPr>
          <w:rFonts w:ascii="Century Schoolbook" w:hAnsi="Century Schoolbook"/>
        </w:rPr>
        <w:t>;</w:t>
      </w:r>
    </w:p>
    <w:p w14:paraId="1A02FF0C" w14:textId="77777777" w:rsidR="006A39BF" w:rsidRPr="006A39BF" w:rsidRDefault="006A39BF" w:rsidP="006A39BF">
      <w:pPr>
        <w:spacing w:after="0" w:line="240" w:lineRule="auto"/>
        <w:rPr>
          <w:rFonts w:ascii="Century Schoolbook" w:hAnsi="Century Schoolbook"/>
        </w:rPr>
      </w:pPr>
    </w:p>
    <w:p w14:paraId="5EFC5CAC" w14:textId="323B1516" w:rsidR="00DF5080" w:rsidRDefault="00A67B31" w:rsidP="006A39BF">
      <w:pPr>
        <w:pStyle w:val="ListParagraph"/>
        <w:numPr>
          <w:ilvl w:val="1"/>
          <w:numId w:val="11"/>
        </w:numPr>
        <w:spacing w:after="0" w:line="240" w:lineRule="auto"/>
        <w:rPr>
          <w:rFonts w:ascii="Century Schoolbook" w:hAnsi="Century Schoolbook"/>
        </w:rPr>
      </w:pPr>
      <w:r w:rsidRPr="00A67B31">
        <w:rPr>
          <w:rFonts w:ascii="Century Schoolbook" w:hAnsi="Century Schoolbook"/>
        </w:rPr>
        <w:t>14-318.2</w:t>
      </w:r>
      <w:r>
        <w:rPr>
          <w:rFonts w:ascii="Century Schoolbook" w:hAnsi="Century Schoolbook"/>
        </w:rPr>
        <w:t xml:space="preserve"> - M</w:t>
      </w:r>
      <w:r w:rsidRPr="00A67B31">
        <w:rPr>
          <w:rFonts w:ascii="Century Schoolbook" w:hAnsi="Century Schoolbook"/>
        </w:rPr>
        <w:t xml:space="preserve">isdemeanor </w:t>
      </w:r>
      <w:r>
        <w:rPr>
          <w:rFonts w:ascii="Century Schoolbook" w:hAnsi="Century Schoolbook"/>
        </w:rPr>
        <w:t>c</w:t>
      </w:r>
      <w:r w:rsidRPr="00A67B31">
        <w:rPr>
          <w:rFonts w:ascii="Century Schoolbook" w:hAnsi="Century Schoolbook"/>
        </w:rPr>
        <w:t>hild abuse</w:t>
      </w:r>
      <w:r>
        <w:rPr>
          <w:rFonts w:ascii="Century Schoolbook" w:hAnsi="Century Schoolbook"/>
        </w:rPr>
        <w:t>;</w:t>
      </w:r>
    </w:p>
    <w:p w14:paraId="720B1C05" w14:textId="77777777" w:rsidR="006A39BF" w:rsidRPr="006A39BF" w:rsidRDefault="006A39BF" w:rsidP="006A39BF">
      <w:pPr>
        <w:spacing w:after="0" w:line="240" w:lineRule="auto"/>
        <w:rPr>
          <w:rFonts w:ascii="Century Schoolbook" w:hAnsi="Century Schoolbook"/>
        </w:rPr>
      </w:pPr>
    </w:p>
    <w:p w14:paraId="2EBC1736" w14:textId="33E73581" w:rsidR="00A67B31" w:rsidRDefault="007511F9" w:rsidP="006A39BF">
      <w:pPr>
        <w:pStyle w:val="ListParagraph"/>
        <w:numPr>
          <w:ilvl w:val="1"/>
          <w:numId w:val="11"/>
        </w:numPr>
        <w:spacing w:after="0" w:line="240" w:lineRule="auto"/>
        <w:rPr>
          <w:rFonts w:ascii="Century Schoolbook" w:hAnsi="Century Schoolbook"/>
        </w:rPr>
      </w:pPr>
      <w:r w:rsidRPr="007511F9">
        <w:rPr>
          <w:rFonts w:ascii="Century Schoolbook" w:hAnsi="Century Schoolbook"/>
        </w:rPr>
        <w:t>14-134.3</w:t>
      </w:r>
      <w:r>
        <w:rPr>
          <w:rFonts w:ascii="Century Schoolbook" w:hAnsi="Century Schoolbook"/>
        </w:rPr>
        <w:t xml:space="preserve"> - </w:t>
      </w:r>
      <w:r w:rsidRPr="007511F9">
        <w:rPr>
          <w:rFonts w:ascii="Century Schoolbook" w:hAnsi="Century Schoolbook"/>
        </w:rPr>
        <w:t>Domestic criminal trespass</w:t>
      </w:r>
      <w:r>
        <w:rPr>
          <w:rFonts w:ascii="Century Schoolbook" w:hAnsi="Century Schoolbook"/>
        </w:rPr>
        <w:t>;</w:t>
      </w:r>
    </w:p>
    <w:p w14:paraId="0233B98C" w14:textId="77777777" w:rsidR="006A39BF" w:rsidRPr="006A39BF" w:rsidRDefault="006A39BF" w:rsidP="006A39BF">
      <w:pPr>
        <w:spacing w:after="0" w:line="240" w:lineRule="auto"/>
        <w:rPr>
          <w:rFonts w:ascii="Century Schoolbook" w:hAnsi="Century Schoolbook"/>
        </w:rPr>
      </w:pPr>
    </w:p>
    <w:p w14:paraId="3B83F07C" w14:textId="0B470A9E" w:rsidR="007511F9" w:rsidRDefault="00C72606" w:rsidP="006A39BF">
      <w:pPr>
        <w:pStyle w:val="ListParagraph"/>
        <w:numPr>
          <w:ilvl w:val="1"/>
          <w:numId w:val="11"/>
        </w:numPr>
        <w:spacing w:after="0" w:line="240" w:lineRule="auto"/>
        <w:rPr>
          <w:rFonts w:ascii="Century Schoolbook" w:hAnsi="Century Schoolbook"/>
        </w:rPr>
      </w:pPr>
      <w:r w:rsidRPr="00C72606">
        <w:rPr>
          <w:rFonts w:ascii="Century Schoolbook" w:hAnsi="Century Schoolbook"/>
        </w:rPr>
        <w:t>50B-4.1</w:t>
      </w:r>
      <w:r>
        <w:rPr>
          <w:rFonts w:ascii="Century Schoolbook" w:hAnsi="Century Schoolbook"/>
        </w:rPr>
        <w:t xml:space="preserve"> - </w:t>
      </w:r>
      <w:r w:rsidRPr="00C72606">
        <w:rPr>
          <w:rFonts w:ascii="Century Schoolbook" w:hAnsi="Century Schoolbook"/>
        </w:rPr>
        <w:t>Violation of valid protective order</w:t>
      </w:r>
      <w:r>
        <w:rPr>
          <w:rFonts w:ascii="Century Schoolbook" w:hAnsi="Century Schoolbook"/>
        </w:rPr>
        <w:t>;</w:t>
      </w:r>
    </w:p>
    <w:p w14:paraId="4F4D5A77" w14:textId="77777777" w:rsidR="006A39BF" w:rsidRPr="006A39BF" w:rsidRDefault="006A39BF" w:rsidP="006A39BF">
      <w:pPr>
        <w:spacing w:after="0" w:line="240" w:lineRule="auto"/>
        <w:rPr>
          <w:rFonts w:ascii="Century Schoolbook" w:hAnsi="Century Schoolbook"/>
        </w:rPr>
      </w:pPr>
    </w:p>
    <w:p w14:paraId="1F302FAC" w14:textId="04D49CF3" w:rsidR="00C72606" w:rsidRDefault="00B1576F" w:rsidP="006A39BF">
      <w:pPr>
        <w:pStyle w:val="ListParagraph"/>
        <w:numPr>
          <w:ilvl w:val="1"/>
          <w:numId w:val="11"/>
        </w:numPr>
        <w:spacing w:after="0" w:line="240" w:lineRule="auto"/>
        <w:rPr>
          <w:rFonts w:ascii="Century Schoolbook" w:hAnsi="Century Schoolbook"/>
        </w:rPr>
      </w:pPr>
      <w:r>
        <w:rPr>
          <w:rFonts w:ascii="Century Schoolbook" w:hAnsi="Century Schoolbook"/>
        </w:rPr>
        <w:t>F</w:t>
      </w:r>
      <w:r w:rsidRPr="00B1576F">
        <w:rPr>
          <w:rFonts w:ascii="Century Schoolbook" w:hAnsi="Century Schoolbook"/>
        </w:rPr>
        <w:t>ormer G.S. 14-277.3</w:t>
      </w:r>
      <w:r>
        <w:rPr>
          <w:rFonts w:ascii="Century Schoolbook" w:hAnsi="Century Schoolbook"/>
        </w:rPr>
        <w:t xml:space="preserve"> </w:t>
      </w:r>
      <w:r w:rsidR="0079615A">
        <w:rPr>
          <w:rFonts w:ascii="Century Schoolbook" w:hAnsi="Century Schoolbook"/>
        </w:rPr>
        <w:t>–</w:t>
      </w:r>
      <w:r>
        <w:rPr>
          <w:rFonts w:ascii="Century Schoolbook" w:hAnsi="Century Schoolbook"/>
        </w:rPr>
        <w:t xml:space="preserve"> </w:t>
      </w:r>
      <w:r w:rsidR="0079615A">
        <w:rPr>
          <w:rFonts w:ascii="Century Schoolbook" w:hAnsi="Century Schoolbook"/>
        </w:rPr>
        <w:t>Stalking;</w:t>
      </w:r>
    </w:p>
    <w:p w14:paraId="7EBB2EA9" w14:textId="77777777" w:rsidR="006A39BF" w:rsidRPr="006A39BF" w:rsidRDefault="006A39BF" w:rsidP="006A39BF">
      <w:pPr>
        <w:spacing w:after="0" w:line="240" w:lineRule="auto"/>
        <w:rPr>
          <w:rFonts w:ascii="Century Schoolbook" w:hAnsi="Century Schoolbook"/>
        </w:rPr>
      </w:pPr>
    </w:p>
    <w:p w14:paraId="08CFEE08" w14:textId="220A92AB" w:rsidR="0079615A" w:rsidRDefault="0079615A" w:rsidP="006A39BF">
      <w:pPr>
        <w:pStyle w:val="ListParagraph"/>
        <w:numPr>
          <w:ilvl w:val="1"/>
          <w:numId w:val="11"/>
        </w:numPr>
        <w:spacing w:line="240" w:lineRule="auto"/>
        <w:rPr>
          <w:rFonts w:ascii="Century Schoolbook" w:hAnsi="Century Schoolbook"/>
        </w:rPr>
      </w:pPr>
      <w:r w:rsidRPr="0079615A">
        <w:rPr>
          <w:rFonts w:ascii="Century Schoolbook" w:hAnsi="Century Schoolbook"/>
          <w:b/>
          <w:bCs/>
        </w:rPr>
        <w:t>***IMPORTANT NOTE***</w:t>
      </w:r>
      <w:r w:rsidRPr="0079615A">
        <w:rPr>
          <w:rFonts w:ascii="Century Schoolbook" w:hAnsi="Century Schoolbook"/>
        </w:rPr>
        <w:t xml:space="preserve"> The offenses listed above disqualify an applicant for </w:t>
      </w:r>
      <w:r>
        <w:rPr>
          <w:rFonts w:ascii="Century Schoolbook" w:hAnsi="Century Schoolbook"/>
        </w:rPr>
        <w:t>life!</w:t>
      </w:r>
    </w:p>
    <w:p w14:paraId="1B085626" w14:textId="77777777" w:rsidR="00804443" w:rsidRPr="0079615A" w:rsidRDefault="00804443" w:rsidP="006A39BF">
      <w:pPr>
        <w:pStyle w:val="ListParagraph"/>
        <w:spacing w:line="240" w:lineRule="auto"/>
        <w:ind w:left="1440"/>
        <w:rPr>
          <w:rFonts w:ascii="Century Schoolbook" w:hAnsi="Century Schoolbook"/>
        </w:rPr>
      </w:pPr>
    </w:p>
    <w:p w14:paraId="6E04D04A" w14:textId="4A168692" w:rsidR="0079615A" w:rsidRDefault="00804443" w:rsidP="006A39BF">
      <w:pPr>
        <w:pStyle w:val="ListParagraph"/>
        <w:numPr>
          <w:ilvl w:val="0"/>
          <w:numId w:val="11"/>
        </w:numPr>
        <w:spacing w:after="0" w:line="240" w:lineRule="auto"/>
        <w:rPr>
          <w:rFonts w:ascii="Century Schoolbook" w:hAnsi="Century Schoolbook"/>
        </w:rPr>
      </w:pPr>
      <w:r w:rsidRPr="00804443">
        <w:rPr>
          <w:rFonts w:ascii="Century Schoolbook" w:hAnsi="Century Schoolbook"/>
        </w:rPr>
        <w:t>G.S. 14-415.12(b)(8</w:t>
      </w:r>
      <w:r>
        <w:rPr>
          <w:rFonts w:ascii="Century Schoolbook" w:hAnsi="Century Schoolbook"/>
        </w:rPr>
        <w:t>b</w:t>
      </w:r>
      <w:r w:rsidRPr="00804443">
        <w:rPr>
          <w:rFonts w:ascii="Century Schoolbook" w:hAnsi="Century Schoolbook"/>
        </w:rPr>
        <w:t>) prohibits the issuance of a permit to an individual who is</w:t>
      </w:r>
      <w:r w:rsidR="00347197" w:rsidRPr="00347197">
        <w:t xml:space="preserve"> </w:t>
      </w:r>
      <w:r w:rsidR="00347197" w:rsidRPr="00347197">
        <w:rPr>
          <w:rFonts w:ascii="Century Schoolbook" w:hAnsi="Century Schoolbook"/>
        </w:rPr>
        <w:t>prohibited from possessing a firearm pursuant to 18 U.S.C. § 922(g) as a result of a conviction of a misdemeanor crime of domestic violence.</w:t>
      </w:r>
    </w:p>
    <w:p w14:paraId="756C8D34" w14:textId="77777777" w:rsidR="006A39BF" w:rsidRDefault="006A39BF" w:rsidP="006A39BF">
      <w:pPr>
        <w:pStyle w:val="ListParagraph"/>
        <w:spacing w:after="0" w:line="240" w:lineRule="auto"/>
        <w:rPr>
          <w:rFonts w:ascii="Century Schoolbook" w:hAnsi="Century Schoolbook"/>
        </w:rPr>
      </w:pPr>
    </w:p>
    <w:p w14:paraId="672778D6" w14:textId="118CCC04" w:rsidR="00347197" w:rsidRDefault="00347197" w:rsidP="006A39BF">
      <w:pPr>
        <w:pStyle w:val="ListParagraph"/>
        <w:numPr>
          <w:ilvl w:val="0"/>
          <w:numId w:val="11"/>
        </w:numPr>
        <w:spacing w:after="0" w:line="240" w:lineRule="auto"/>
        <w:rPr>
          <w:rFonts w:ascii="Century Schoolbook" w:hAnsi="Century Schoolbook"/>
        </w:rPr>
      </w:pPr>
      <w:r w:rsidRPr="00347197">
        <w:rPr>
          <w:rFonts w:ascii="Century Schoolbook" w:hAnsi="Century Schoolbook"/>
        </w:rPr>
        <w:t>G.S. 14-415.12(b)(8</w:t>
      </w:r>
      <w:r>
        <w:rPr>
          <w:rFonts w:ascii="Century Schoolbook" w:hAnsi="Century Schoolbook"/>
        </w:rPr>
        <w:t>c</w:t>
      </w:r>
      <w:r w:rsidRPr="00347197">
        <w:rPr>
          <w:rFonts w:ascii="Century Schoolbook" w:hAnsi="Century Schoolbook"/>
        </w:rPr>
        <w:t xml:space="preserve">) prohibits the issuance of a permit to an individual who </w:t>
      </w:r>
      <w:r>
        <w:rPr>
          <w:rFonts w:ascii="Century Schoolbook" w:hAnsi="Century Schoolbook"/>
        </w:rPr>
        <w:t>h</w:t>
      </w:r>
      <w:r w:rsidRPr="00347197">
        <w:rPr>
          <w:rFonts w:ascii="Century Schoolbook" w:hAnsi="Century Schoolbook"/>
        </w:rPr>
        <w:t xml:space="preserve">as been adjudicated guilty of or received a prayer for judgment continued or suspended sentence for one or more crimes involving an assault or a threat to </w:t>
      </w:r>
      <w:r w:rsidRPr="00347197">
        <w:rPr>
          <w:rFonts w:ascii="Century Schoolbook" w:hAnsi="Century Schoolbook"/>
        </w:rPr>
        <w:lastRenderedPageBreak/>
        <w:t>assault a law enforcement officer, probation or parole officer, person employed at a State or local detention facility, firefighter, emergency medical technician, medical responder, or emergency department personnel.</w:t>
      </w:r>
    </w:p>
    <w:p w14:paraId="0E875BC0" w14:textId="77777777" w:rsidR="006A39BF" w:rsidRPr="006A39BF" w:rsidRDefault="006A39BF" w:rsidP="006A39BF">
      <w:pPr>
        <w:spacing w:after="0" w:line="240" w:lineRule="auto"/>
        <w:rPr>
          <w:rFonts w:ascii="Century Schoolbook" w:hAnsi="Century Schoolbook"/>
        </w:rPr>
      </w:pPr>
    </w:p>
    <w:p w14:paraId="55CBABC3" w14:textId="00299DC9" w:rsidR="00347197" w:rsidRDefault="000357EC" w:rsidP="006A39BF">
      <w:pPr>
        <w:pStyle w:val="ListParagraph"/>
        <w:numPr>
          <w:ilvl w:val="0"/>
          <w:numId w:val="11"/>
        </w:numPr>
        <w:spacing w:after="0" w:line="240" w:lineRule="auto"/>
        <w:rPr>
          <w:rFonts w:ascii="Century Schoolbook" w:hAnsi="Century Schoolbook"/>
        </w:rPr>
      </w:pPr>
      <w:r w:rsidRPr="000357EC">
        <w:rPr>
          <w:rFonts w:ascii="Century Schoolbook" w:hAnsi="Century Schoolbook"/>
        </w:rPr>
        <w:t>G.S. 14-415.12(b)(</w:t>
      </w:r>
      <w:r>
        <w:rPr>
          <w:rFonts w:ascii="Century Schoolbook" w:hAnsi="Century Schoolbook"/>
        </w:rPr>
        <w:t>9</w:t>
      </w:r>
      <w:r w:rsidRPr="000357EC">
        <w:rPr>
          <w:rFonts w:ascii="Century Schoolbook" w:hAnsi="Century Schoolbook"/>
        </w:rPr>
        <w:t>)</w:t>
      </w:r>
      <w:r>
        <w:rPr>
          <w:rFonts w:ascii="Century Schoolbook" w:hAnsi="Century Schoolbook"/>
        </w:rPr>
        <w:t xml:space="preserve"> </w:t>
      </w:r>
      <w:r w:rsidRPr="000357EC">
        <w:rPr>
          <w:rFonts w:ascii="Century Schoolbook" w:hAnsi="Century Schoolbook"/>
        </w:rPr>
        <w:t>prohibits the issuance of a permit to an individual who has</w:t>
      </w:r>
      <w:r w:rsidR="00EE6EB0" w:rsidRPr="00EE6EB0">
        <w:t xml:space="preserve"> </w:t>
      </w:r>
      <w:r w:rsidR="00EE6EB0" w:rsidRPr="00EE6EB0">
        <w:rPr>
          <w:rFonts w:ascii="Century Schoolbook" w:hAnsi="Century Schoolbook"/>
        </w:rPr>
        <w:t>had entry of a prayer for judgment continued for a criminal offense which would disqualify the person from obtaining a concealed handgun permit</w:t>
      </w:r>
      <w:r w:rsidR="00EE6EB0">
        <w:rPr>
          <w:rFonts w:ascii="Century Schoolbook" w:hAnsi="Century Schoolbook"/>
        </w:rPr>
        <w:t>.</w:t>
      </w:r>
    </w:p>
    <w:p w14:paraId="48B9C592" w14:textId="77777777" w:rsidR="006A39BF" w:rsidRPr="006A39BF" w:rsidRDefault="006A39BF" w:rsidP="006A39BF">
      <w:pPr>
        <w:spacing w:after="0" w:line="240" w:lineRule="auto"/>
        <w:rPr>
          <w:rFonts w:ascii="Century Schoolbook" w:hAnsi="Century Schoolbook"/>
        </w:rPr>
      </w:pPr>
    </w:p>
    <w:p w14:paraId="4FA93D3E" w14:textId="5E41C0B2" w:rsidR="00EE6EB0" w:rsidRDefault="00EE6EB0" w:rsidP="006A39BF">
      <w:pPr>
        <w:pStyle w:val="ListParagraph"/>
        <w:numPr>
          <w:ilvl w:val="0"/>
          <w:numId w:val="11"/>
        </w:numPr>
        <w:spacing w:after="0" w:line="240" w:lineRule="auto"/>
        <w:rPr>
          <w:rFonts w:ascii="Century Schoolbook" w:hAnsi="Century Schoolbook"/>
        </w:rPr>
      </w:pPr>
      <w:r w:rsidRPr="00EE6EB0">
        <w:rPr>
          <w:rFonts w:ascii="Century Schoolbook" w:hAnsi="Century Schoolbook"/>
        </w:rPr>
        <w:t>G.S. 14-415.12(b)(</w:t>
      </w:r>
      <w:r>
        <w:rPr>
          <w:rFonts w:ascii="Century Schoolbook" w:hAnsi="Century Schoolbook"/>
        </w:rPr>
        <w:t>10</w:t>
      </w:r>
      <w:r w:rsidRPr="00EE6EB0">
        <w:rPr>
          <w:rFonts w:ascii="Century Schoolbook" w:hAnsi="Century Schoolbook"/>
        </w:rPr>
        <w:t>)</w:t>
      </w:r>
      <w:r>
        <w:rPr>
          <w:rFonts w:ascii="Century Schoolbook" w:hAnsi="Century Schoolbook"/>
        </w:rPr>
        <w:t xml:space="preserve"> </w:t>
      </w:r>
      <w:r w:rsidR="00A91718" w:rsidRPr="00A91718">
        <w:rPr>
          <w:rFonts w:ascii="Century Schoolbook" w:hAnsi="Century Schoolbook"/>
        </w:rPr>
        <w:t>prohibits the issuance of a permit to an individual who</w:t>
      </w:r>
      <w:r w:rsidR="00A91718" w:rsidRPr="00A91718">
        <w:t xml:space="preserve"> </w:t>
      </w:r>
      <w:r w:rsidR="00A91718">
        <w:t>i</w:t>
      </w:r>
      <w:r w:rsidR="00A91718" w:rsidRPr="00A91718">
        <w:rPr>
          <w:rFonts w:ascii="Century Schoolbook" w:hAnsi="Century Schoolbook"/>
        </w:rPr>
        <w:t>s free on bond or personal recognizance pending trial, appeal, or sentencing for a crime which would disqualify him from obtaining a concealed handgun permit.</w:t>
      </w:r>
    </w:p>
    <w:p w14:paraId="186A7633" w14:textId="77777777" w:rsidR="006A39BF" w:rsidRPr="006A39BF" w:rsidRDefault="006A39BF" w:rsidP="006A39BF">
      <w:pPr>
        <w:spacing w:after="0" w:line="240" w:lineRule="auto"/>
        <w:rPr>
          <w:rFonts w:ascii="Century Schoolbook" w:hAnsi="Century Schoolbook"/>
        </w:rPr>
      </w:pPr>
    </w:p>
    <w:p w14:paraId="1F89F3D7" w14:textId="77777777" w:rsidR="007E19EC" w:rsidRPr="007E19EC" w:rsidRDefault="00A91718" w:rsidP="006A39BF">
      <w:pPr>
        <w:pStyle w:val="ListParagraph"/>
        <w:numPr>
          <w:ilvl w:val="0"/>
          <w:numId w:val="11"/>
        </w:numPr>
        <w:spacing w:line="240" w:lineRule="auto"/>
        <w:rPr>
          <w:rFonts w:ascii="Century Schoolbook" w:hAnsi="Century Schoolbook"/>
        </w:rPr>
      </w:pPr>
      <w:r w:rsidRPr="007E19EC">
        <w:rPr>
          <w:rFonts w:ascii="Century Schoolbook" w:hAnsi="Century Schoolbook"/>
        </w:rPr>
        <w:t xml:space="preserve">G.S. 14-415.12(b)(11) prohibits the issuance of a permit to an individual who </w:t>
      </w:r>
      <w:r w:rsidR="007E19EC" w:rsidRPr="007E19EC">
        <w:rPr>
          <w:rFonts w:ascii="Century Schoolbook" w:hAnsi="Century Schoolbook"/>
        </w:rPr>
        <w:t xml:space="preserve">has been convicted of an impaired driving offense under G.S. 20-138.1, 20-138.2, or 20-138.3. </w:t>
      </w:r>
      <w:r w:rsidR="007E19EC" w:rsidRPr="007E19EC">
        <w:rPr>
          <w:rFonts w:ascii="Century Schoolbook" w:hAnsi="Century Schoolbook"/>
          <w:b/>
          <w:bCs/>
        </w:rPr>
        <w:t>***IMPORTANT NOTE***</w:t>
      </w:r>
      <w:r w:rsidR="007E19EC" w:rsidRPr="007E19EC">
        <w:rPr>
          <w:rFonts w:ascii="Century Schoolbook" w:hAnsi="Century Schoolbook"/>
        </w:rPr>
        <w:t xml:space="preserve"> The offenses listed above only disqualify an applicant for three years.</w:t>
      </w:r>
    </w:p>
    <w:p w14:paraId="7C83CDAC" w14:textId="0A5C52F4" w:rsidR="00EA66A9" w:rsidRPr="007E19EC" w:rsidRDefault="00EA66A9" w:rsidP="007E19EC">
      <w:pPr>
        <w:pStyle w:val="ListParagraph"/>
        <w:spacing w:after="0" w:line="480" w:lineRule="auto"/>
        <w:rPr>
          <w:rFonts w:ascii="Century Schoolbook" w:hAnsi="Century Schoolbook"/>
        </w:rPr>
      </w:pPr>
    </w:p>
    <w:p w14:paraId="3CAA2960" w14:textId="77777777" w:rsidR="00EA66A9" w:rsidRDefault="00EA66A9" w:rsidP="00993EB0">
      <w:pPr>
        <w:spacing w:after="0" w:line="480" w:lineRule="auto"/>
        <w:rPr>
          <w:rFonts w:ascii="Century Schoolbook" w:hAnsi="Century Schoolbook"/>
        </w:rPr>
      </w:pPr>
    </w:p>
    <w:p w14:paraId="59E2437C" w14:textId="77777777" w:rsidR="00EA66A9" w:rsidRDefault="00EA66A9" w:rsidP="00993EB0">
      <w:pPr>
        <w:spacing w:after="0" w:line="480" w:lineRule="auto"/>
        <w:rPr>
          <w:rFonts w:ascii="Century Schoolbook" w:hAnsi="Century Schoolbook"/>
        </w:rPr>
      </w:pPr>
    </w:p>
    <w:p w14:paraId="748D1889" w14:textId="77777777" w:rsidR="00993EB0" w:rsidRPr="00993EB0" w:rsidRDefault="00993EB0" w:rsidP="00993EB0">
      <w:pPr>
        <w:spacing w:after="0" w:line="480" w:lineRule="auto"/>
        <w:ind w:firstLine="720"/>
        <w:rPr>
          <w:rFonts w:ascii="Century Schoolbook" w:hAnsi="Century Schoolbook"/>
        </w:rPr>
      </w:pPr>
    </w:p>
    <w:sectPr w:rsidR="00993EB0" w:rsidRPr="00993EB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4388C" w14:textId="77777777" w:rsidR="000E77AF" w:rsidRDefault="000E77AF" w:rsidP="00503CC6">
      <w:pPr>
        <w:spacing w:after="0" w:line="240" w:lineRule="auto"/>
      </w:pPr>
      <w:r>
        <w:separator/>
      </w:r>
    </w:p>
  </w:endnote>
  <w:endnote w:type="continuationSeparator" w:id="0">
    <w:p w14:paraId="185688CB" w14:textId="77777777" w:rsidR="000E77AF" w:rsidRDefault="000E77AF" w:rsidP="00503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50168"/>
      <w:docPartObj>
        <w:docPartGallery w:val="Page Numbers (Bottom of Page)"/>
        <w:docPartUnique/>
      </w:docPartObj>
    </w:sdtPr>
    <w:sdtEndPr>
      <w:rPr>
        <w:noProof/>
      </w:rPr>
    </w:sdtEndPr>
    <w:sdtContent>
      <w:p w14:paraId="6D279F5D" w14:textId="79DA5426" w:rsidR="00503CC6" w:rsidRDefault="00503C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398AD7" w14:textId="77777777" w:rsidR="00503CC6" w:rsidRDefault="00503C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E014A" w14:textId="77777777" w:rsidR="000E77AF" w:rsidRDefault="000E77AF" w:rsidP="00503CC6">
      <w:pPr>
        <w:spacing w:after="0" w:line="240" w:lineRule="auto"/>
      </w:pPr>
      <w:r>
        <w:separator/>
      </w:r>
    </w:p>
  </w:footnote>
  <w:footnote w:type="continuationSeparator" w:id="0">
    <w:p w14:paraId="153C0DB6" w14:textId="77777777" w:rsidR="000E77AF" w:rsidRDefault="000E77AF" w:rsidP="00503C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0121"/>
    <w:multiLevelType w:val="hybridMultilevel"/>
    <w:tmpl w:val="DC1A5E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222ED"/>
    <w:multiLevelType w:val="hybridMultilevel"/>
    <w:tmpl w:val="4A007840"/>
    <w:lvl w:ilvl="0" w:tplc="32845B7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A437FD1"/>
    <w:multiLevelType w:val="hybridMultilevel"/>
    <w:tmpl w:val="7EDE8D5C"/>
    <w:lvl w:ilvl="0" w:tplc="74902BF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D9709D"/>
    <w:multiLevelType w:val="hybridMultilevel"/>
    <w:tmpl w:val="0B32D5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F7346F"/>
    <w:multiLevelType w:val="hybridMultilevel"/>
    <w:tmpl w:val="51FA5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33623E"/>
    <w:multiLevelType w:val="hybridMultilevel"/>
    <w:tmpl w:val="E248621C"/>
    <w:lvl w:ilvl="0" w:tplc="7CBCDC5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3E370A1D"/>
    <w:multiLevelType w:val="hybridMultilevel"/>
    <w:tmpl w:val="10CEF8BC"/>
    <w:lvl w:ilvl="0" w:tplc="115EA80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496A1909"/>
    <w:multiLevelType w:val="hybridMultilevel"/>
    <w:tmpl w:val="FEACB494"/>
    <w:lvl w:ilvl="0" w:tplc="F254FF8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C7C0087"/>
    <w:multiLevelType w:val="hybridMultilevel"/>
    <w:tmpl w:val="1C6EEFCA"/>
    <w:lvl w:ilvl="0" w:tplc="B3787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D6668DF"/>
    <w:multiLevelType w:val="hybridMultilevel"/>
    <w:tmpl w:val="D22EB398"/>
    <w:lvl w:ilvl="0" w:tplc="499423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1FC5E4F"/>
    <w:multiLevelType w:val="hybridMultilevel"/>
    <w:tmpl w:val="9A426FD0"/>
    <w:lvl w:ilvl="0" w:tplc="1C72B87E">
      <w:start w:val="1"/>
      <w:numFmt w:val="lowerLetter"/>
      <w:lvlText w:val="(%1)"/>
      <w:lvlJc w:val="left"/>
      <w:pPr>
        <w:ind w:left="1440" w:hanging="360"/>
      </w:pPr>
      <w:rPr>
        <w:rFonts w:ascii="Century Schoolbook" w:eastAsiaTheme="minorHAnsi" w:hAnsi="Century Schoolbook" w:cstheme="minorBidi"/>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359083E"/>
    <w:multiLevelType w:val="hybridMultilevel"/>
    <w:tmpl w:val="7EE6E378"/>
    <w:lvl w:ilvl="0" w:tplc="E0C6C9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5023F13"/>
    <w:multiLevelType w:val="hybridMultilevel"/>
    <w:tmpl w:val="E62A9360"/>
    <w:lvl w:ilvl="0" w:tplc="141CF8D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F8D4665"/>
    <w:multiLevelType w:val="hybridMultilevel"/>
    <w:tmpl w:val="B4CA2B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24F071D"/>
    <w:multiLevelType w:val="hybridMultilevel"/>
    <w:tmpl w:val="7E0CFAFC"/>
    <w:lvl w:ilvl="0" w:tplc="E9E233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96626634">
    <w:abstractNumId w:val="2"/>
  </w:num>
  <w:num w:numId="2" w16cid:durableId="2040162224">
    <w:abstractNumId w:val="9"/>
  </w:num>
  <w:num w:numId="3" w16cid:durableId="639727359">
    <w:abstractNumId w:val="8"/>
  </w:num>
  <w:num w:numId="4" w16cid:durableId="1059324837">
    <w:abstractNumId w:val="10"/>
  </w:num>
  <w:num w:numId="5" w16cid:durableId="1679694959">
    <w:abstractNumId w:val="6"/>
  </w:num>
  <w:num w:numId="6" w16cid:durableId="1328706573">
    <w:abstractNumId w:val="7"/>
  </w:num>
  <w:num w:numId="7" w16cid:durableId="1651905865">
    <w:abstractNumId w:val="5"/>
  </w:num>
  <w:num w:numId="8" w16cid:durableId="732199700">
    <w:abstractNumId w:val="13"/>
  </w:num>
  <w:num w:numId="9" w16cid:durableId="1865240184">
    <w:abstractNumId w:val="4"/>
  </w:num>
  <w:num w:numId="10" w16cid:durableId="189882924">
    <w:abstractNumId w:val="11"/>
  </w:num>
  <w:num w:numId="11" w16cid:durableId="735251080">
    <w:abstractNumId w:val="3"/>
  </w:num>
  <w:num w:numId="12" w16cid:durableId="1007058111">
    <w:abstractNumId w:val="0"/>
  </w:num>
  <w:num w:numId="13" w16cid:durableId="292637663">
    <w:abstractNumId w:val="14"/>
  </w:num>
  <w:num w:numId="14" w16cid:durableId="2131705686">
    <w:abstractNumId w:val="1"/>
  </w:num>
  <w:num w:numId="15" w16cid:durableId="15622072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780"/>
    <w:rsid w:val="00005CFE"/>
    <w:rsid w:val="00011F55"/>
    <w:rsid w:val="00012A72"/>
    <w:rsid w:val="00012FCA"/>
    <w:rsid w:val="00021110"/>
    <w:rsid w:val="000226EF"/>
    <w:rsid w:val="0002407A"/>
    <w:rsid w:val="00024820"/>
    <w:rsid w:val="00030CD4"/>
    <w:rsid w:val="00033FBC"/>
    <w:rsid w:val="000340D4"/>
    <w:rsid w:val="00034459"/>
    <w:rsid w:val="000357EC"/>
    <w:rsid w:val="00037018"/>
    <w:rsid w:val="00041452"/>
    <w:rsid w:val="000460E9"/>
    <w:rsid w:val="00050903"/>
    <w:rsid w:val="0005607F"/>
    <w:rsid w:val="00074E96"/>
    <w:rsid w:val="000857AD"/>
    <w:rsid w:val="00086FE5"/>
    <w:rsid w:val="00091298"/>
    <w:rsid w:val="0009580B"/>
    <w:rsid w:val="0009758B"/>
    <w:rsid w:val="000A3DDB"/>
    <w:rsid w:val="000A738E"/>
    <w:rsid w:val="000B4082"/>
    <w:rsid w:val="000B5CF8"/>
    <w:rsid w:val="000B5F82"/>
    <w:rsid w:val="000C2CBC"/>
    <w:rsid w:val="000D4092"/>
    <w:rsid w:val="000E1E33"/>
    <w:rsid w:val="000E77AF"/>
    <w:rsid w:val="000F00D7"/>
    <w:rsid w:val="000F41FC"/>
    <w:rsid w:val="000F5EC7"/>
    <w:rsid w:val="0010195A"/>
    <w:rsid w:val="00117111"/>
    <w:rsid w:val="00120135"/>
    <w:rsid w:val="00120151"/>
    <w:rsid w:val="0012531A"/>
    <w:rsid w:val="0012570D"/>
    <w:rsid w:val="0012686D"/>
    <w:rsid w:val="001302F4"/>
    <w:rsid w:val="001325AC"/>
    <w:rsid w:val="00132604"/>
    <w:rsid w:val="00136EF8"/>
    <w:rsid w:val="00147C8F"/>
    <w:rsid w:val="00155349"/>
    <w:rsid w:val="001571BD"/>
    <w:rsid w:val="00176B14"/>
    <w:rsid w:val="001A48E3"/>
    <w:rsid w:val="001B461A"/>
    <w:rsid w:val="001B5D55"/>
    <w:rsid w:val="001C3798"/>
    <w:rsid w:val="001D22AA"/>
    <w:rsid w:val="001E1794"/>
    <w:rsid w:val="001E7AB5"/>
    <w:rsid w:val="001F3EC2"/>
    <w:rsid w:val="002072F9"/>
    <w:rsid w:val="002148A7"/>
    <w:rsid w:val="00221DE0"/>
    <w:rsid w:val="002270BC"/>
    <w:rsid w:val="002279B2"/>
    <w:rsid w:val="00233BB6"/>
    <w:rsid w:val="00234640"/>
    <w:rsid w:val="00237A42"/>
    <w:rsid w:val="00252E04"/>
    <w:rsid w:val="0025496F"/>
    <w:rsid w:val="00257E5D"/>
    <w:rsid w:val="00263523"/>
    <w:rsid w:val="002646E6"/>
    <w:rsid w:val="0026739A"/>
    <w:rsid w:val="00276C2B"/>
    <w:rsid w:val="00276F30"/>
    <w:rsid w:val="00293137"/>
    <w:rsid w:val="00293DA9"/>
    <w:rsid w:val="002A08E3"/>
    <w:rsid w:val="002A0E13"/>
    <w:rsid w:val="002A51AD"/>
    <w:rsid w:val="002A67F7"/>
    <w:rsid w:val="002A6F03"/>
    <w:rsid w:val="002B526D"/>
    <w:rsid w:val="002C364E"/>
    <w:rsid w:val="002C70E1"/>
    <w:rsid w:val="002D1E47"/>
    <w:rsid w:val="002E2D58"/>
    <w:rsid w:val="002E4319"/>
    <w:rsid w:val="0030128D"/>
    <w:rsid w:val="00306735"/>
    <w:rsid w:val="003143FA"/>
    <w:rsid w:val="00315EE2"/>
    <w:rsid w:val="00316037"/>
    <w:rsid w:val="003161E2"/>
    <w:rsid w:val="00321B69"/>
    <w:rsid w:val="00323A6C"/>
    <w:rsid w:val="0032584B"/>
    <w:rsid w:val="00326016"/>
    <w:rsid w:val="00347197"/>
    <w:rsid w:val="00350969"/>
    <w:rsid w:val="00353139"/>
    <w:rsid w:val="00354D0D"/>
    <w:rsid w:val="003557EF"/>
    <w:rsid w:val="00365ECB"/>
    <w:rsid w:val="00367228"/>
    <w:rsid w:val="00367956"/>
    <w:rsid w:val="00375A92"/>
    <w:rsid w:val="00377E2B"/>
    <w:rsid w:val="0038324E"/>
    <w:rsid w:val="00383280"/>
    <w:rsid w:val="00391808"/>
    <w:rsid w:val="003A283F"/>
    <w:rsid w:val="003A6F78"/>
    <w:rsid w:val="003B011B"/>
    <w:rsid w:val="003B47BC"/>
    <w:rsid w:val="003B5F0E"/>
    <w:rsid w:val="003D2066"/>
    <w:rsid w:val="003D3B00"/>
    <w:rsid w:val="003E42DA"/>
    <w:rsid w:val="003E64C1"/>
    <w:rsid w:val="003F06E2"/>
    <w:rsid w:val="00401669"/>
    <w:rsid w:val="00403BBC"/>
    <w:rsid w:val="00407BA1"/>
    <w:rsid w:val="004111DB"/>
    <w:rsid w:val="00413ACD"/>
    <w:rsid w:val="0041405D"/>
    <w:rsid w:val="004148ED"/>
    <w:rsid w:val="004171F4"/>
    <w:rsid w:val="00420630"/>
    <w:rsid w:val="00434F21"/>
    <w:rsid w:val="004364AA"/>
    <w:rsid w:val="00437404"/>
    <w:rsid w:val="00440D36"/>
    <w:rsid w:val="00451B72"/>
    <w:rsid w:val="00453D82"/>
    <w:rsid w:val="00457DEF"/>
    <w:rsid w:val="00463428"/>
    <w:rsid w:val="00465D9D"/>
    <w:rsid w:val="00466F00"/>
    <w:rsid w:val="004754FB"/>
    <w:rsid w:val="00476CB7"/>
    <w:rsid w:val="0048073E"/>
    <w:rsid w:val="00490946"/>
    <w:rsid w:val="004968DB"/>
    <w:rsid w:val="00497977"/>
    <w:rsid w:val="004A4678"/>
    <w:rsid w:val="004B3083"/>
    <w:rsid w:val="004C1FE3"/>
    <w:rsid w:val="004D5E4B"/>
    <w:rsid w:val="004E5938"/>
    <w:rsid w:val="004F0762"/>
    <w:rsid w:val="004F32DE"/>
    <w:rsid w:val="004F5DCD"/>
    <w:rsid w:val="00500400"/>
    <w:rsid w:val="005007ED"/>
    <w:rsid w:val="00503CC6"/>
    <w:rsid w:val="00507557"/>
    <w:rsid w:val="00507DFC"/>
    <w:rsid w:val="00511181"/>
    <w:rsid w:val="0051291D"/>
    <w:rsid w:val="005163FD"/>
    <w:rsid w:val="00517C3B"/>
    <w:rsid w:val="0053029C"/>
    <w:rsid w:val="00530B9E"/>
    <w:rsid w:val="005312B8"/>
    <w:rsid w:val="005629FE"/>
    <w:rsid w:val="00562A36"/>
    <w:rsid w:val="00563381"/>
    <w:rsid w:val="00567699"/>
    <w:rsid w:val="005728E4"/>
    <w:rsid w:val="00581ACB"/>
    <w:rsid w:val="00582A63"/>
    <w:rsid w:val="00582D2F"/>
    <w:rsid w:val="005842DA"/>
    <w:rsid w:val="00591FE7"/>
    <w:rsid w:val="005950F2"/>
    <w:rsid w:val="00597E77"/>
    <w:rsid w:val="005A0174"/>
    <w:rsid w:val="005A143C"/>
    <w:rsid w:val="005B19EA"/>
    <w:rsid w:val="005B7173"/>
    <w:rsid w:val="005C4553"/>
    <w:rsid w:val="005C4F1D"/>
    <w:rsid w:val="005C58DE"/>
    <w:rsid w:val="005C768D"/>
    <w:rsid w:val="005D6EB1"/>
    <w:rsid w:val="005F5614"/>
    <w:rsid w:val="0060172A"/>
    <w:rsid w:val="0060440A"/>
    <w:rsid w:val="006116D8"/>
    <w:rsid w:val="00625370"/>
    <w:rsid w:val="006279BE"/>
    <w:rsid w:val="00636EFE"/>
    <w:rsid w:val="0063769A"/>
    <w:rsid w:val="00652EC7"/>
    <w:rsid w:val="0066028E"/>
    <w:rsid w:val="00665D83"/>
    <w:rsid w:val="0067342E"/>
    <w:rsid w:val="0067377A"/>
    <w:rsid w:val="00683ABC"/>
    <w:rsid w:val="00684203"/>
    <w:rsid w:val="0069019D"/>
    <w:rsid w:val="00693916"/>
    <w:rsid w:val="006A39BF"/>
    <w:rsid w:val="006B3AF2"/>
    <w:rsid w:val="006B5023"/>
    <w:rsid w:val="006B78C5"/>
    <w:rsid w:val="006C406D"/>
    <w:rsid w:val="006E6108"/>
    <w:rsid w:val="00700409"/>
    <w:rsid w:val="007013EA"/>
    <w:rsid w:val="00704975"/>
    <w:rsid w:val="00705738"/>
    <w:rsid w:val="007102A5"/>
    <w:rsid w:val="00713B5E"/>
    <w:rsid w:val="007176AA"/>
    <w:rsid w:val="00717C65"/>
    <w:rsid w:val="0072647F"/>
    <w:rsid w:val="00733761"/>
    <w:rsid w:val="0073609B"/>
    <w:rsid w:val="00737034"/>
    <w:rsid w:val="00737543"/>
    <w:rsid w:val="0074334D"/>
    <w:rsid w:val="00744570"/>
    <w:rsid w:val="0074705C"/>
    <w:rsid w:val="007511F9"/>
    <w:rsid w:val="0075421D"/>
    <w:rsid w:val="0075461E"/>
    <w:rsid w:val="00754E55"/>
    <w:rsid w:val="00755DE6"/>
    <w:rsid w:val="00756699"/>
    <w:rsid w:val="00762D48"/>
    <w:rsid w:val="00772CD1"/>
    <w:rsid w:val="00774CE6"/>
    <w:rsid w:val="007760A0"/>
    <w:rsid w:val="00776356"/>
    <w:rsid w:val="007805BE"/>
    <w:rsid w:val="0079615A"/>
    <w:rsid w:val="007A6B86"/>
    <w:rsid w:val="007A6F33"/>
    <w:rsid w:val="007A7F41"/>
    <w:rsid w:val="007B102F"/>
    <w:rsid w:val="007B2B94"/>
    <w:rsid w:val="007D015B"/>
    <w:rsid w:val="007D373E"/>
    <w:rsid w:val="007E19EC"/>
    <w:rsid w:val="00803FC6"/>
    <w:rsid w:val="00804443"/>
    <w:rsid w:val="00805FF4"/>
    <w:rsid w:val="00807CBD"/>
    <w:rsid w:val="00814B92"/>
    <w:rsid w:val="00815B20"/>
    <w:rsid w:val="00820867"/>
    <w:rsid w:val="008213CD"/>
    <w:rsid w:val="0082533A"/>
    <w:rsid w:val="00831D03"/>
    <w:rsid w:val="00836EDA"/>
    <w:rsid w:val="00836F4F"/>
    <w:rsid w:val="0085201C"/>
    <w:rsid w:val="00860487"/>
    <w:rsid w:val="0086174E"/>
    <w:rsid w:val="00862429"/>
    <w:rsid w:val="00865FAF"/>
    <w:rsid w:val="008734F6"/>
    <w:rsid w:val="00880ED2"/>
    <w:rsid w:val="00890AE1"/>
    <w:rsid w:val="008943A3"/>
    <w:rsid w:val="0089753A"/>
    <w:rsid w:val="008B2FDA"/>
    <w:rsid w:val="008B3041"/>
    <w:rsid w:val="008B3AE2"/>
    <w:rsid w:val="008B4F44"/>
    <w:rsid w:val="008C1B2A"/>
    <w:rsid w:val="008D0519"/>
    <w:rsid w:val="008D3693"/>
    <w:rsid w:val="008D7894"/>
    <w:rsid w:val="008E35CE"/>
    <w:rsid w:val="008F0B9D"/>
    <w:rsid w:val="008F1B44"/>
    <w:rsid w:val="0090061C"/>
    <w:rsid w:val="0091338A"/>
    <w:rsid w:val="00913C4E"/>
    <w:rsid w:val="00917BE7"/>
    <w:rsid w:val="00917C0E"/>
    <w:rsid w:val="009272CB"/>
    <w:rsid w:val="00927484"/>
    <w:rsid w:val="0093123D"/>
    <w:rsid w:val="00941E5C"/>
    <w:rsid w:val="00942FF0"/>
    <w:rsid w:val="00943806"/>
    <w:rsid w:val="00953FE9"/>
    <w:rsid w:val="00956782"/>
    <w:rsid w:val="00956D1D"/>
    <w:rsid w:val="0096662D"/>
    <w:rsid w:val="00991051"/>
    <w:rsid w:val="00993EB0"/>
    <w:rsid w:val="009951CD"/>
    <w:rsid w:val="00996FDD"/>
    <w:rsid w:val="009A2835"/>
    <w:rsid w:val="009B0F0B"/>
    <w:rsid w:val="009B79B4"/>
    <w:rsid w:val="009C1F37"/>
    <w:rsid w:val="009D7FD2"/>
    <w:rsid w:val="009E0E44"/>
    <w:rsid w:val="009E430B"/>
    <w:rsid w:val="009E4BA1"/>
    <w:rsid w:val="00A01FA7"/>
    <w:rsid w:val="00A10276"/>
    <w:rsid w:val="00A11038"/>
    <w:rsid w:val="00A1737B"/>
    <w:rsid w:val="00A30094"/>
    <w:rsid w:val="00A42B36"/>
    <w:rsid w:val="00A67B31"/>
    <w:rsid w:val="00A728F5"/>
    <w:rsid w:val="00A84268"/>
    <w:rsid w:val="00A87FC9"/>
    <w:rsid w:val="00A90938"/>
    <w:rsid w:val="00A91718"/>
    <w:rsid w:val="00A93690"/>
    <w:rsid w:val="00A9682E"/>
    <w:rsid w:val="00AA755F"/>
    <w:rsid w:val="00AB45BF"/>
    <w:rsid w:val="00AB4FF4"/>
    <w:rsid w:val="00AB5068"/>
    <w:rsid w:val="00AC12CC"/>
    <w:rsid w:val="00AD0581"/>
    <w:rsid w:val="00AE2CF9"/>
    <w:rsid w:val="00AF0999"/>
    <w:rsid w:val="00B04780"/>
    <w:rsid w:val="00B069C9"/>
    <w:rsid w:val="00B12BF5"/>
    <w:rsid w:val="00B1576F"/>
    <w:rsid w:val="00B20303"/>
    <w:rsid w:val="00B4749A"/>
    <w:rsid w:val="00B6336B"/>
    <w:rsid w:val="00B720DA"/>
    <w:rsid w:val="00B8740B"/>
    <w:rsid w:val="00B879B9"/>
    <w:rsid w:val="00B87E57"/>
    <w:rsid w:val="00B95E3F"/>
    <w:rsid w:val="00BA0344"/>
    <w:rsid w:val="00BA14D7"/>
    <w:rsid w:val="00BA3D2D"/>
    <w:rsid w:val="00BA5291"/>
    <w:rsid w:val="00BB2223"/>
    <w:rsid w:val="00BC1DB4"/>
    <w:rsid w:val="00BC3C38"/>
    <w:rsid w:val="00BC5DA3"/>
    <w:rsid w:val="00BC5EC3"/>
    <w:rsid w:val="00BC67F2"/>
    <w:rsid w:val="00BC7C30"/>
    <w:rsid w:val="00BD5495"/>
    <w:rsid w:val="00BD58D9"/>
    <w:rsid w:val="00BD64F5"/>
    <w:rsid w:val="00BD6EC8"/>
    <w:rsid w:val="00C03B3A"/>
    <w:rsid w:val="00C050C3"/>
    <w:rsid w:val="00C05E20"/>
    <w:rsid w:val="00C228E7"/>
    <w:rsid w:val="00C31557"/>
    <w:rsid w:val="00C32BCE"/>
    <w:rsid w:val="00C3496D"/>
    <w:rsid w:val="00C366EF"/>
    <w:rsid w:val="00C4103C"/>
    <w:rsid w:val="00C42C30"/>
    <w:rsid w:val="00C5176D"/>
    <w:rsid w:val="00C56AC1"/>
    <w:rsid w:val="00C6661D"/>
    <w:rsid w:val="00C72606"/>
    <w:rsid w:val="00C839B5"/>
    <w:rsid w:val="00C86FDD"/>
    <w:rsid w:val="00CA1C5E"/>
    <w:rsid w:val="00CB2D0F"/>
    <w:rsid w:val="00CB7BD7"/>
    <w:rsid w:val="00CC1457"/>
    <w:rsid w:val="00CC558D"/>
    <w:rsid w:val="00CC566A"/>
    <w:rsid w:val="00CD213A"/>
    <w:rsid w:val="00CE194C"/>
    <w:rsid w:val="00CE46B5"/>
    <w:rsid w:val="00CE551C"/>
    <w:rsid w:val="00CE668F"/>
    <w:rsid w:val="00CF0B0F"/>
    <w:rsid w:val="00D01245"/>
    <w:rsid w:val="00D02C44"/>
    <w:rsid w:val="00D14BCF"/>
    <w:rsid w:val="00D2353B"/>
    <w:rsid w:val="00D26232"/>
    <w:rsid w:val="00D30D91"/>
    <w:rsid w:val="00D50A98"/>
    <w:rsid w:val="00D60595"/>
    <w:rsid w:val="00D65F3E"/>
    <w:rsid w:val="00D76DF4"/>
    <w:rsid w:val="00D86557"/>
    <w:rsid w:val="00D925AE"/>
    <w:rsid w:val="00DA4607"/>
    <w:rsid w:val="00DB21E1"/>
    <w:rsid w:val="00DD40CB"/>
    <w:rsid w:val="00DD4643"/>
    <w:rsid w:val="00DE0D5C"/>
    <w:rsid w:val="00DE5B20"/>
    <w:rsid w:val="00DF33A5"/>
    <w:rsid w:val="00DF5080"/>
    <w:rsid w:val="00DF525F"/>
    <w:rsid w:val="00DF5E84"/>
    <w:rsid w:val="00DF7850"/>
    <w:rsid w:val="00E01933"/>
    <w:rsid w:val="00E01AD9"/>
    <w:rsid w:val="00E03CEE"/>
    <w:rsid w:val="00E0504A"/>
    <w:rsid w:val="00E052D2"/>
    <w:rsid w:val="00E17202"/>
    <w:rsid w:val="00E3164B"/>
    <w:rsid w:val="00E33977"/>
    <w:rsid w:val="00E37884"/>
    <w:rsid w:val="00E407C3"/>
    <w:rsid w:val="00E5227C"/>
    <w:rsid w:val="00E572D4"/>
    <w:rsid w:val="00E62730"/>
    <w:rsid w:val="00E704AF"/>
    <w:rsid w:val="00E70DA4"/>
    <w:rsid w:val="00E71E00"/>
    <w:rsid w:val="00E74FA3"/>
    <w:rsid w:val="00E81B54"/>
    <w:rsid w:val="00EA0AEC"/>
    <w:rsid w:val="00EA66A9"/>
    <w:rsid w:val="00EB252B"/>
    <w:rsid w:val="00EC2517"/>
    <w:rsid w:val="00EC7984"/>
    <w:rsid w:val="00ED6C65"/>
    <w:rsid w:val="00EE6EB0"/>
    <w:rsid w:val="00EE7DE7"/>
    <w:rsid w:val="00EF6610"/>
    <w:rsid w:val="00EF7125"/>
    <w:rsid w:val="00F12A2D"/>
    <w:rsid w:val="00F13AFB"/>
    <w:rsid w:val="00F179B6"/>
    <w:rsid w:val="00F21DA3"/>
    <w:rsid w:val="00F316FB"/>
    <w:rsid w:val="00F43BD1"/>
    <w:rsid w:val="00F54705"/>
    <w:rsid w:val="00F6141F"/>
    <w:rsid w:val="00F677D3"/>
    <w:rsid w:val="00F73148"/>
    <w:rsid w:val="00F76CD2"/>
    <w:rsid w:val="00F83447"/>
    <w:rsid w:val="00F874A9"/>
    <w:rsid w:val="00F91B3B"/>
    <w:rsid w:val="00F93D04"/>
    <w:rsid w:val="00F9778A"/>
    <w:rsid w:val="00FA27A0"/>
    <w:rsid w:val="00FA468F"/>
    <w:rsid w:val="00FA4EBF"/>
    <w:rsid w:val="00FB1F62"/>
    <w:rsid w:val="00FC12DA"/>
    <w:rsid w:val="00FD2DEB"/>
    <w:rsid w:val="00FD3A24"/>
    <w:rsid w:val="00FD7187"/>
    <w:rsid w:val="00FE2A30"/>
    <w:rsid w:val="00FE5242"/>
    <w:rsid w:val="00FF0273"/>
    <w:rsid w:val="00FF0D58"/>
    <w:rsid w:val="00FF3BA0"/>
    <w:rsid w:val="00FF6D7F"/>
    <w:rsid w:val="00FF7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3A4FF"/>
  <w15:chartTrackingRefBased/>
  <w15:docId w15:val="{273BF409-EB5E-4A01-A136-09D3EE1A9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FE3"/>
  </w:style>
  <w:style w:type="paragraph" w:styleId="Heading1">
    <w:name w:val="heading 1"/>
    <w:basedOn w:val="Normal"/>
    <w:next w:val="Normal"/>
    <w:link w:val="Heading1Char"/>
    <w:uiPriority w:val="9"/>
    <w:qFormat/>
    <w:rsid w:val="00B047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47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47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47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47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47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47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47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47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7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47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47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47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47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47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47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47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4780"/>
    <w:rPr>
      <w:rFonts w:eastAsiaTheme="majorEastAsia" w:cstheme="majorBidi"/>
      <w:color w:val="272727" w:themeColor="text1" w:themeTint="D8"/>
    </w:rPr>
  </w:style>
  <w:style w:type="paragraph" w:styleId="Title">
    <w:name w:val="Title"/>
    <w:basedOn w:val="Normal"/>
    <w:next w:val="Normal"/>
    <w:link w:val="TitleChar"/>
    <w:uiPriority w:val="10"/>
    <w:qFormat/>
    <w:rsid w:val="00B047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47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47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47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4780"/>
    <w:pPr>
      <w:spacing w:before="160"/>
      <w:jc w:val="center"/>
    </w:pPr>
    <w:rPr>
      <w:i/>
      <w:iCs/>
      <w:color w:val="404040" w:themeColor="text1" w:themeTint="BF"/>
    </w:rPr>
  </w:style>
  <w:style w:type="character" w:customStyle="1" w:styleId="QuoteChar">
    <w:name w:val="Quote Char"/>
    <w:basedOn w:val="DefaultParagraphFont"/>
    <w:link w:val="Quote"/>
    <w:uiPriority w:val="29"/>
    <w:rsid w:val="00B04780"/>
    <w:rPr>
      <w:i/>
      <w:iCs/>
      <w:color w:val="404040" w:themeColor="text1" w:themeTint="BF"/>
    </w:rPr>
  </w:style>
  <w:style w:type="paragraph" w:styleId="ListParagraph">
    <w:name w:val="List Paragraph"/>
    <w:basedOn w:val="Normal"/>
    <w:uiPriority w:val="34"/>
    <w:qFormat/>
    <w:rsid w:val="00B04780"/>
    <w:pPr>
      <w:ind w:left="720"/>
      <w:contextualSpacing/>
    </w:pPr>
  </w:style>
  <w:style w:type="character" w:styleId="IntenseEmphasis">
    <w:name w:val="Intense Emphasis"/>
    <w:basedOn w:val="DefaultParagraphFont"/>
    <w:uiPriority w:val="21"/>
    <w:qFormat/>
    <w:rsid w:val="00B04780"/>
    <w:rPr>
      <w:i/>
      <w:iCs/>
      <w:color w:val="0F4761" w:themeColor="accent1" w:themeShade="BF"/>
    </w:rPr>
  </w:style>
  <w:style w:type="paragraph" w:styleId="IntenseQuote">
    <w:name w:val="Intense Quote"/>
    <w:basedOn w:val="Normal"/>
    <w:next w:val="Normal"/>
    <w:link w:val="IntenseQuoteChar"/>
    <w:uiPriority w:val="30"/>
    <w:qFormat/>
    <w:rsid w:val="00B047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4780"/>
    <w:rPr>
      <w:i/>
      <w:iCs/>
      <w:color w:val="0F4761" w:themeColor="accent1" w:themeShade="BF"/>
    </w:rPr>
  </w:style>
  <w:style w:type="character" w:styleId="IntenseReference">
    <w:name w:val="Intense Reference"/>
    <w:basedOn w:val="DefaultParagraphFont"/>
    <w:uiPriority w:val="32"/>
    <w:qFormat/>
    <w:rsid w:val="00B04780"/>
    <w:rPr>
      <w:b/>
      <w:bCs/>
      <w:smallCaps/>
      <w:color w:val="0F4761" w:themeColor="accent1" w:themeShade="BF"/>
      <w:spacing w:val="5"/>
    </w:rPr>
  </w:style>
  <w:style w:type="character" w:styleId="Hyperlink">
    <w:name w:val="Hyperlink"/>
    <w:basedOn w:val="DefaultParagraphFont"/>
    <w:uiPriority w:val="99"/>
    <w:unhideWhenUsed/>
    <w:rsid w:val="004C1FE3"/>
    <w:rPr>
      <w:color w:val="467886" w:themeColor="hyperlink"/>
      <w:u w:val="single"/>
    </w:rPr>
  </w:style>
  <w:style w:type="paragraph" w:styleId="Header">
    <w:name w:val="header"/>
    <w:basedOn w:val="Normal"/>
    <w:link w:val="HeaderChar"/>
    <w:uiPriority w:val="99"/>
    <w:unhideWhenUsed/>
    <w:rsid w:val="00503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CC6"/>
  </w:style>
  <w:style w:type="paragraph" w:styleId="Footer">
    <w:name w:val="footer"/>
    <w:basedOn w:val="Normal"/>
    <w:link w:val="FooterChar"/>
    <w:uiPriority w:val="99"/>
    <w:unhideWhenUsed/>
    <w:rsid w:val="00503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1.next.westlaw.com/Link/Document/FullText?findType=L&amp;pubNum=1000546&amp;cite=8USCAS1101&amp;originatingDoc=NADDE6DE0D43711EFB17FB17BD0B4DE6A&amp;refType=RB&amp;originationContext=document&amp;transitionType=DocumentItem&amp;ppcid=bd5ba8e538a8449381c2fa9f9c646600&amp;contextData=(sc.UserEnteredCita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1.next.westlaw.com/Link/Document/FullText?findType=L&amp;pubNum=1000546&amp;cite=21USCAS802&amp;originatingDoc=NADDE6DE0D43711EFB17FB17BD0B4DE6A&amp;refType=LQ&amp;originationContext=document&amp;transitionType=DocumentItem&amp;ppcid=bd5ba8e538a8449381c2fa9f9c646600&amp;contextData=(sc.UserEnteredCitatio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ron@rjshooklaw.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7FB2B62C39FD4A936491F43BB97B94" ma:contentTypeVersion="15" ma:contentTypeDescription="Create a new document." ma:contentTypeScope="" ma:versionID="db800536340e026701b8f36fe4e0ed3a">
  <xsd:schema xmlns:xsd="http://www.w3.org/2001/XMLSchema" xmlns:xs="http://www.w3.org/2001/XMLSchema" xmlns:p="http://schemas.microsoft.com/office/2006/metadata/properties" xmlns:ns3="928c0f52-8ff5-4d2c-a247-581f5b46a71a" xmlns:ns4="23962be7-e9b6-49f6-9e1a-1a46a56c3a16" targetNamespace="http://schemas.microsoft.com/office/2006/metadata/properties" ma:root="true" ma:fieldsID="e58becc298ad6030e96f9d48679b1c9c" ns3:_="" ns4:_="">
    <xsd:import namespace="928c0f52-8ff5-4d2c-a247-581f5b46a71a"/>
    <xsd:import namespace="23962be7-e9b6-49f6-9e1a-1a46a56c3a1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element ref="ns3:MediaServiceSystemTags" minOccurs="0"/>
                <xsd:element ref="ns3:MediaLengthInSecond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c0f52-8ff5-4d2c-a247-581f5b46a7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962be7-e9b6-49f6-9e1a-1a46a56c3a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928c0f52-8ff5-4d2c-a247-581f5b46a71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989220-D3B7-4EDF-AA20-CCAA233275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8c0f52-8ff5-4d2c-a247-581f5b46a71a"/>
    <ds:schemaRef ds:uri="23962be7-e9b6-49f6-9e1a-1a46a56c3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099118-7126-4B14-98EB-C4FB7BFD5ABD}">
  <ds:schemaRefs>
    <ds:schemaRef ds:uri="http://schemas.microsoft.com/office/2006/metadata/properties"/>
    <ds:schemaRef ds:uri="http://schemas.microsoft.com/office/infopath/2007/PartnerControls"/>
    <ds:schemaRef ds:uri="928c0f52-8ff5-4d2c-a247-581f5b46a71a"/>
  </ds:schemaRefs>
</ds:datastoreItem>
</file>

<file path=customXml/itemProps3.xml><?xml version="1.0" encoding="utf-8"?>
<ds:datastoreItem xmlns:ds="http://schemas.openxmlformats.org/officeDocument/2006/customXml" ds:itemID="{9BA19211-5A0C-4F64-A536-AE3C601F66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3086</TotalTime>
  <Pages>42</Pages>
  <Words>11290</Words>
  <Characters>58934</Characters>
  <Application>Microsoft Office Word</Application>
  <DocSecurity>0</DocSecurity>
  <Lines>1202</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Shook</dc:creator>
  <cp:keywords/>
  <dc:description/>
  <cp:lastModifiedBy>Ron Shook</cp:lastModifiedBy>
  <cp:revision>143</cp:revision>
  <dcterms:created xsi:type="dcterms:W3CDTF">2026-06-08T17:18:00Z</dcterms:created>
  <dcterms:modified xsi:type="dcterms:W3CDTF">2026-08-22T17:50:00Z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0x010100697FB2B62C39FD4A936491F43BB97B94</vt:lpwstr>
  </property>
</Properties>
</file>